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1D1B4" w14:textId="77777777" w:rsidR="00BE7F54" w:rsidRDefault="00D221B1">
      <w:pPr>
        <w:keepNext/>
        <w:spacing w:after="200" w:line="240" w:lineRule="auto"/>
        <w:rPr>
          <w:b/>
          <w:sz w:val="36"/>
          <w:szCs w:val="36"/>
        </w:rPr>
      </w:pPr>
      <w:r>
        <w:rPr>
          <w:b/>
          <w:sz w:val="36"/>
          <w:szCs w:val="36"/>
        </w:rPr>
        <w:t>Journal of Information Literacy</w:t>
      </w:r>
    </w:p>
    <w:p w14:paraId="7A76A4A7" w14:textId="77777777" w:rsidR="00BE7F54" w:rsidRDefault="00D221B1">
      <w:pPr>
        <w:keepNext/>
        <w:spacing w:after="200" w:line="240" w:lineRule="auto"/>
        <w:rPr>
          <w:b/>
          <w:sz w:val="28"/>
          <w:szCs w:val="28"/>
        </w:rPr>
      </w:pPr>
      <w:r>
        <w:rPr>
          <w:b/>
          <w:sz w:val="28"/>
          <w:szCs w:val="28"/>
        </w:rPr>
        <w:t>ISSN 1750-5968</w:t>
      </w:r>
    </w:p>
    <w:p w14:paraId="349798B3" w14:textId="77777777" w:rsidR="00BE7F54" w:rsidRDefault="00BE7F54">
      <w:pPr>
        <w:spacing w:line="240" w:lineRule="auto"/>
        <w:rPr>
          <w:sz w:val="24"/>
          <w:szCs w:val="24"/>
        </w:rPr>
      </w:pPr>
    </w:p>
    <w:p w14:paraId="36C9D296" w14:textId="72556CB4" w:rsidR="00BE7F54" w:rsidRDefault="00D221B1">
      <w:pPr>
        <w:keepNext/>
        <w:spacing w:before="80" w:after="120" w:line="240" w:lineRule="auto"/>
        <w:rPr>
          <w:b/>
          <w:sz w:val="24"/>
          <w:szCs w:val="24"/>
        </w:rPr>
      </w:pPr>
      <w:r>
        <w:rPr>
          <w:b/>
          <w:sz w:val="24"/>
          <w:szCs w:val="24"/>
        </w:rPr>
        <w:t xml:space="preserve">Volume </w:t>
      </w:r>
      <w:r w:rsidR="001D7EAE">
        <w:rPr>
          <w:b/>
          <w:sz w:val="24"/>
          <w:szCs w:val="24"/>
        </w:rPr>
        <w:t>15</w:t>
      </w:r>
      <w:r>
        <w:rPr>
          <w:b/>
          <w:sz w:val="24"/>
          <w:szCs w:val="24"/>
        </w:rPr>
        <w:t xml:space="preserve"> Issue </w:t>
      </w:r>
      <w:r w:rsidR="001D7EAE">
        <w:rPr>
          <w:b/>
          <w:sz w:val="24"/>
          <w:szCs w:val="24"/>
        </w:rPr>
        <w:t>3</w:t>
      </w:r>
    </w:p>
    <w:p w14:paraId="77A089DF" w14:textId="69BB6AE9" w:rsidR="00BE7F54" w:rsidRDefault="001D7EAE">
      <w:pPr>
        <w:keepNext/>
        <w:spacing w:before="80" w:after="120" w:line="240" w:lineRule="auto"/>
        <w:rPr>
          <w:b/>
          <w:sz w:val="24"/>
          <w:szCs w:val="24"/>
        </w:rPr>
      </w:pPr>
      <w:r>
        <w:rPr>
          <w:b/>
          <w:sz w:val="24"/>
          <w:szCs w:val="24"/>
        </w:rPr>
        <w:t>December</w:t>
      </w:r>
      <w:r w:rsidR="00D221B1">
        <w:rPr>
          <w:b/>
          <w:sz w:val="24"/>
          <w:szCs w:val="24"/>
        </w:rPr>
        <w:t xml:space="preserve"> </w:t>
      </w:r>
      <w:r>
        <w:rPr>
          <w:b/>
          <w:sz w:val="24"/>
          <w:szCs w:val="24"/>
        </w:rPr>
        <w:t>2021</w:t>
      </w:r>
    </w:p>
    <w:p w14:paraId="64D637DB" w14:textId="77777777" w:rsidR="00BE7F54" w:rsidRDefault="00BE7F54">
      <w:pPr>
        <w:spacing w:line="240" w:lineRule="auto"/>
        <w:rPr>
          <w:sz w:val="24"/>
          <w:szCs w:val="24"/>
        </w:rPr>
      </w:pPr>
    </w:p>
    <w:p w14:paraId="0929B28A" w14:textId="77777777" w:rsidR="00BE7F54" w:rsidRDefault="00BE7F54">
      <w:pPr>
        <w:spacing w:line="240" w:lineRule="auto"/>
        <w:rPr>
          <w:sz w:val="24"/>
          <w:szCs w:val="24"/>
        </w:rPr>
      </w:pPr>
    </w:p>
    <w:p w14:paraId="1FB313C7" w14:textId="77777777" w:rsidR="00BE7F54" w:rsidRDefault="00BE7F54">
      <w:pPr>
        <w:spacing w:line="240" w:lineRule="auto"/>
        <w:rPr>
          <w:sz w:val="24"/>
          <w:szCs w:val="24"/>
        </w:rPr>
      </w:pPr>
    </w:p>
    <w:p w14:paraId="340A8340" w14:textId="77777777" w:rsidR="00BE7F54" w:rsidRDefault="00BE7F54">
      <w:pPr>
        <w:spacing w:line="240" w:lineRule="auto"/>
        <w:rPr>
          <w:sz w:val="24"/>
          <w:szCs w:val="24"/>
        </w:rPr>
      </w:pPr>
    </w:p>
    <w:p w14:paraId="1259EC72" w14:textId="187D392A" w:rsidR="00BE7F54" w:rsidRDefault="00D221B1">
      <w:pPr>
        <w:keepNext/>
        <w:spacing w:after="200" w:line="240" w:lineRule="auto"/>
        <w:rPr>
          <w:b/>
          <w:sz w:val="28"/>
          <w:szCs w:val="28"/>
        </w:rPr>
      </w:pPr>
      <w:r>
        <w:rPr>
          <w:b/>
          <w:sz w:val="28"/>
          <w:szCs w:val="28"/>
        </w:rPr>
        <w:t>Article</w:t>
      </w:r>
    </w:p>
    <w:p w14:paraId="1ED07BC0" w14:textId="4D3CC624" w:rsidR="00BE7F54" w:rsidRPr="001D7EAE" w:rsidRDefault="001D7EAE" w:rsidP="001D7EAE">
      <w:pPr>
        <w:spacing w:before="80" w:after="120"/>
        <w:rPr>
          <w:b/>
          <w:bCs/>
          <w:sz w:val="24"/>
          <w:szCs w:val="24"/>
          <w:lang w:val="en-CA"/>
        </w:rPr>
      </w:pPr>
      <w:r w:rsidRPr="001546A8">
        <w:rPr>
          <w:b/>
          <w:sz w:val="24"/>
          <w:szCs w:val="24"/>
          <w:lang w:val="de-DE"/>
        </w:rPr>
        <w:t>Dennie, D. &amp; Brei</w:t>
      </w:r>
      <w:r w:rsidR="00911723">
        <w:rPr>
          <w:b/>
          <w:sz w:val="24"/>
          <w:szCs w:val="24"/>
          <w:lang w:val="de-DE"/>
        </w:rPr>
        <w:t>e</w:t>
      </w:r>
      <w:r w:rsidRPr="001546A8">
        <w:rPr>
          <w:b/>
          <w:sz w:val="24"/>
          <w:szCs w:val="24"/>
          <w:lang w:val="de-DE"/>
        </w:rPr>
        <w:t>r, S</w:t>
      </w:r>
      <w:r w:rsidR="00D221B1" w:rsidRPr="001546A8">
        <w:rPr>
          <w:b/>
          <w:sz w:val="24"/>
          <w:szCs w:val="24"/>
          <w:lang w:val="de-DE"/>
        </w:rPr>
        <w:t xml:space="preserve">. </w:t>
      </w:r>
      <w:r w:rsidRPr="001546A8">
        <w:rPr>
          <w:b/>
          <w:sz w:val="24"/>
          <w:szCs w:val="24"/>
          <w:lang w:val="de-DE"/>
        </w:rPr>
        <w:t>2021</w:t>
      </w:r>
      <w:r w:rsidR="00D221B1" w:rsidRPr="001546A8">
        <w:rPr>
          <w:b/>
          <w:sz w:val="24"/>
          <w:szCs w:val="24"/>
          <w:lang w:val="de-DE"/>
        </w:rPr>
        <w:t xml:space="preserve">. </w:t>
      </w:r>
      <w:r w:rsidRPr="001546A8">
        <w:rPr>
          <w:b/>
          <w:bCs/>
          <w:sz w:val="24"/>
          <w:szCs w:val="24"/>
          <w:lang w:val="de-DE"/>
        </w:rPr>
        <w:t xml:space="preserve">‘Babe… </w:t>
      </w:r>
      <w:r w:rsidR="00AE1F6B" w:rsidRPr="001D7EAE">
        <w:rPr>
          <w:b/>
          <w:bCs/>
          <w:sz w:val="24"/>
          <w:szCs w:val="24"/>
          <w:lang w:val="en-CA"/>
        </w:rPr>
        <w:t>you're a bit of a know it all’</w:t>
      </w:r>
      <w:r w:rsidRPr="001D7EAE">
        <w:rPr>
          <w:b/>
          <w:bCs/>
          <w:sz w:val="24"/>
          <w:szCs w:val="24"/>
          <w:lang w:val="en-CA"/>
        </w:rPr>
        <w:t xml:space="preserve">: Student </w:t>
      </w:r>
      <w:r w:rsidR="00AE1F6B" w:rsidRPr="001D7EAE">
        <w:rPr>
          <w:b/>
          <w:bCs/>
          <w:sz w:val="24"/>
          <w:szCs w:val="24"/>
          <w:lang w:val="en-CA"/>
        </w:rPr>
        <w:t>love and breakup letters to a library research skills tutorial</w:t>
      </w:r>
      <w:r w:rsidR="00D221B1">
        <w:rPr>
          <w:b/>
          <w:sz w:val="24"/>
          <w:szCs w:val="24"/>
        </w:rPr>
        <w:t xml:space="preserve">. </w:t>
      </w:r>
      <w:r w:rsidR="00D221B1">
        <w:rPr>
          <w:b/>
          <w:i/>
          <w:sz w:val="24"/>
          <w:szCs w:val="24"/>
        </w:rPr>
        <w:t>Journal of Information Literacy</w:t>
      </w:r>
      <w:r w:rsidR="00D221B1" w:rsidRPr="007C5BE8">
        <w:rPr>
          <w:b/>
          <w:i/>
          <w:iCs/>
          <w:sz w:val="24"/>
          <w:szCs w:val="24"/>
        </w:rPr>
        <w:t xml:space="preserve">, </w:t>
      </w:r>
      <w:r w:rsidRPr="007C5BE8">
        <w:rPr>
          <w:b/>
          <w:i/>
          <w:iCs/>
          <w:sz w:val="24"/>
          <w:szCs w:val="24"/>
        </w:rPr>
        <w:t>15</w:t>
      </w:r>
      <w:r w:rsidR="00D221B1">
        <w:rPr>
          <w:b/>
          <w:sz w:val="24"/>
          <w:szCs w:val="24"/>
        </w:rPr>
        <w:t>(</w:t>
      </w:r>
      <w:r>
        <w:rPr>
          <w:b/>
          <w:sz w:val="24"/>
          <w:szCs w:val="24"/>
        </w:rPr>
        <w:t>3</w:t>
      </w:r>
      <w:r w:rsidR="00D221B1">
        <w:rPr>
          <w:b/>
          <w:sz w:val="24"/>
          <w:szCs w:val="24"/>
        </w:rPr>
        <w:t>), pp.</w:t>
      </w:r>
      <w:r w:rsidR="00633F55">
        <w:rPr>
          <w:b/>
          <w:sz w:val="24"/>
          <w:szCs w:val="24"/>
        </w:rPr>
        <w:t>41</w:t>
      </w:r>
      <w:r w:rsidR="00D221B1">
        <w:rPr>
          <w:b/>
          <w:sz w:val="24"/>
          <w:szCs w:val="24"/>
        </w:rPr>
        <w:t>-</w:t>
      </w:r>
      <w:r w:rsidR="00633F55">
        <w:rPr>
          <w:b/>
          <w:sz w:val="24"/>
          <w:szCs w:val="24"/>
        </w:rPr>
        <w:t>55</w:t>
      </w:r>
      <w:r w:rsidR="00D221B1">
        <w:rPr>
          <w:b/>
          <w:sz w:val="24"/>
          <w:szCs w:val="24"/>
        </w:rPr>
        <w:t>.</w:t>
      </w:r>
    </w:p>
    <w:p w14:paraId="3F284047" w14:textId="0518C4B3" w:rsidR="00BE7F54" w:rsidRDefault="0071070E">
      <w:pPr>
        <w:spacing w:before="120" w:after="80" w:line="240" w:lineRule="auto"/>
        <w:rPr>
          <w:b/>
          <w:i/>
          <w:sz w:val="24"/>
          <w:szCs w:val="24"/>
        </w:rPr>
      </w:pPr>
      <w:hyperlink r:id="rId7" w:history="1">
        <w:r w:rsidR="00292183" w:rsidRPr="00AB59EF">
          <w:rPr>
            <w:rStyle w:val="Hyperlink"/>
            <w:b/>
            <w:i/>
            <w:sz w:val="24"/>
            <w:szCs w:val="24"/>
          </w:rPr>
          <w:t>http://dx.doi.org/10.11645/15.3.2887</w:t>
        </w:r>
      </w:hyperlink>
      <w:r w:rsidR="00292183">
        <w:rPr>
          <w:b/>
          <w:i/>
          <w:sz w:val="24"/>
          <w:szCs w:val="24"/>
        </w:rPr>
        <w:t xml:space="preserve"> </w:t>
      </w:r>
    </w:p>
    <w:p w14:paraId="0636C13B" w14:textId="77777777" w:rsidR="00BE7F54" w:rsidRDefault="00BE7F54">
      <w:pPr>
        <w:spacing w:before="120" w:after="80" w:line="240" w:lineRule="auto"/>
        <w:rPr>
          <w:b/>
          <w:i/>
          <w:sz w:val="24"/>
          <w:szCs w:val="24"/>
        </w:rPr>
      </w:pPr>
    </w:p>
    <w:p w14:paraId="7D9FBB50" w14:textId="77777777" w:rsidR="00BE7F54" w:rsidRDefault="00BE7F54">
      <w:pPr>
        <w:spacing w:before="120" w:after="80" w:line="240" w:lineRule="auto"/>
        <w:rPr>
          <w:sz w:val="24"/>
          <w:szCs w:val="24"/>
        </w:rPr>
      </w:pPr>
    </w:p>
    <w:p w14:paraId="73E1E5D1" w14:textId="77777777" w:rsidR="00BE7F54" w:rsidRDefault="00BE7F54">
      <w:pPr>
        <w:spacing w:line="240" w:lineRule="auto"/>
        <w:rPr>
          <w:sz w:val="24"/>
          <w:szCs w:val="24"/>
        </w:rPr>
      </w:pPr>
    </w:p>
    <w:p w14:paraId="3C3A8993" w14:textId="77777777" w:rsidR="00BE7F54" w:rsidRDefault="00BE7F54">
      <w:pPr>
        <w:spacing w:line="240" w:lineRule="auto"/>
        <w:rPr>
          <w:sz w:val="24"/>
          <w:szCs w:val="24"/>
        </w:rPr>
      </w:pPr>
    </w:p>
    <w:p w14:paraId="58DE5140" w14:textId="77777777" w:rsidR="00BE7F54" w:rsidRDefault="00BE7F54">
      <w:pPr>
        <w:spacing w:line="240" w:lineRule="auto"/>
        <w:rPr>
          <w:sz w:val="24"/>
          <w:szCs w:val="24"/>
        </w:rPr>
      </w:pPr>
    </w:p>
    <w:p w14:paraId="63DFEE92" w14:textId="77777777" w:rsidR="00BE7F54" w:rsidRDefault="00BE7F54">
      <w:pPr>
        <w:spacing w:line="240" w:lineRule="auto"/>
        <w:rPr>
          <w:sz w:val="24"/>
          <w:szCs w:val="24"/>
        </w:rPr>
      </w:pPr>
    </w:p>
    <w:p w14:paraId="20D04D94" w14:textId="77777777" w:rsidR="00BE7F54" w:rsidRDefault="00BE7F54">
      <w:pPr>
        <w:spacing w:line="240" w:lineRule="auto"/>
        <w:rPr>
          <w:sz w:val="24"/>
          <w:szCs w:val="24"/>
        </w:rPr>
      </w:pPr>
    </w:p>
    <w:p w14:paraId="723CE7E0" w14:textId="77777777" w:rsidR="00BE7F54" w:rsidRDefault="00BE7F54">
      <w:pPr>
        <w:spacing w:line="240" w:lineRule="auto"/>
        <w:rPr>
          <w:sz w:val="24"/>
          <w:szCs w:val="24"/>
        </w:rPr>
      </w:pPr>
    </w:p>
    <w:p w14:paraId="650CF5A7" w14:textId="77777777" w:rsidR="00BE7F54" w:rsidRDefault="00BE7F54">
      <w:pPr>
        <w:spacing w:line="240" w:lineRule="auto"/>
        <w:rPr>
          <w:sz w:val="24"/>
          <w:szCs w:val="24"/>
        </w:rPr>
      </w:pPr>
    </w:p>
    <w:p w14:paraId="3D38F3B7" w14:textId="77777777" w:rsidR="00BE7F54" w:rsidRDefault="00BE7F54">
      <w:pPr>
        <w:spacing w:line="240" w:lineRule="auto"/>
        <w:rPr>
          <w:sz w:val="24"/>
          <w:szCs w:val="24"/>
        </w:rPr>
      </w:pPr>
    </w:p>
    <w:p w14:paraId="4CEA8A79" w14:textId="77777777" w:rsidR="00BE7F54" w:rsidRDefault="00BE7F54">
      <w:pPr>
        <w:spacing w:line="240" w:lineRule="auto"/>
        <w:rPr>
          <w:sz w:val="24"/>
          <w:szCs w:val="24"/>
        </w:rPr>
      </w:pPr>
    </w:p>
    <w:p w14:paraId="5CCF1960" w14:textId="77777777" w:rsidR="00BE7F54" w:rsidRDefault="00BE7F54">
      <w:pPr>
        <w:spacing w:line="240" w:lineRule="auto"/>
        <w:rPr>
          <w:sz w:val="24"/>
          <w:szCs w:val="24"/>
        </w:rPr>
      </w:pPr>
    </w:p>
    <w:p w14:paraId="100D546A" w14:textId="77777777" w:rsidR="00BE7F54" w:rsidRDefault="00BE7F54">
      <w:pPr>
        <w:spacing w:line="240" w:lineRule="auto"/>
        <w:rPr>
          <w:sz w:val="24"/>
          <w:szCs w:val="24"/>
        </w:rPr>
      </w:pPr>
    </w:p>
    <w:p w14:paraId="6A6C267F" w14:textId="77777777" w:rsidR="00BE7F54" w:rsidRDefault="00D221B1">
      <w:pPr>
        <w:spacing w:line="240" w:lineRule="auto"/>
        <w:rPr>
          <w:sz w:val="20"/>
          <w:szCs w:val="20"/>
        </w:rPr>
      </w:pPr>
      <w:r>
        <w:rPr>
          <w:rFonts w:ascii="Calibri" w:eastAsia="Calibri" w:hAnsi="Calibri" w:cs="Calibri"/>
          <w:noProof/>
          <w:color w:val="0000FF"/>
          <w:sz w:val="24"/>
          <w:szCs w:val="24"/>
        </w:rPr>
        <w:drawing>
          <wp:inline distT="0" distB="0" distL="0" distR="0" wp14:anchorId="73C968CF" wp14:editId="10C6B281">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8"/>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9">
        <w:r>
          <w:rPr>
            <w:rFonts w:ascii="Calibri" w:eastAsia="Calibri" w:hAnsi="Calibri" w:cs="Calibri"/>
            <w:color w:val="0000FF"/>
            <w:sz w:val="20"/>
            <w:szCs w:val="20"/>
            <w:u w:val="single"/>
          </w:rPr>
          <w:t>Creative Commons Attribution-ShareAlike 4.0 International License</w:t>
        </w:r>
      </w:hyperlink>
      <w:r>
        <w:rPr>
          <w:b/>
          <w:sz w:val="20"/>
          <w:szCs w:val="20"/>
        </w:rPr>
        <w:t>.</w:t>
      </w:r>
    </w:p>
    <w:p w14:paraId="520DB49F" w14:textId="77777777" w:rsidR="00BE7F54" w:rsidRDefault="00BE7F54">
      <w:pPr>
        <w:spacing w:line="240" w:lineRule="auto"/>
        <w:rPr>
          <w:sz w:val="20"/>
          <w:szCs w:val="20"/>
        </w:rPr>
      </w:pPr>
    </w:p>
    <w:p w14:paraId="72D71379" w14:textId="77777777" w:rsidR="00BE7F54" w:rsidRDefault="00D221B1">
      <w:pPr>
        <w:widowControl w:val="0"/>
        <w:spacing w:line="240" w:lineRule="auto"/>
        <w:rPr>
          <w:sz w:val="20"/>
          <w:szCs w:val="20"/>
        </w:rPr>
      </w:pPr>
      <w:r>
        <w:rPr>
          <w:b/>
          <w:sz w:val="20"/>
          <w:szCs w:val="20"/>
        </w:rPr>
        <w:t>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ShareAlike licence</w:t>
      </w:r>
      <w:r>
        <w:rPr>
          <w:sz w:val="20"/>
          <w:szCs w:val="20"/>
        </w:rPr>
        <w:t>.</w:t>
      </w:r>
    </w:p>
    <w:p w14:paraId="4012EF62" w14:textId="77777777" w:rsidR="00BE7F54" w:rsidRDefault="00BE7F54">
      <w:pPr>
        <w:widowControl w:val="0"/>
        <w:spacing w:line="240" w:lineRule="auto"/>
        <w:rPr>
          <w:sz w:val="20"/>
          <w:szCs w:val="20"/>
        </w:rPr>
      </w:pPr>
    </w:p>
    <w:p w14:paraId="31766821" w14:textId="2BD9F3E1" w:rsidR="00BE7F54" w:rsidRDefault="00292183">
      <w:pPr>
        <w:widowControl w:val="0"/>
        <w:spacing w:line="240" w:lineRule="auto"/>
        <w:rPr>
          <w:color w:val="000000"/>
          <w:sz w:val="20"/>
          <w:szCs w:val="20"/>
          <w:highlight w:val="white"/>
        </w:rPr>
      </w:pPr>
      <w:r>
        <w:rPr>
          <w:color w:val="000000"/>
          <w:sz w:val="20"/>
          <w:szCs w:val="20"/>
          <w:highlight w:val="white"/>
        </w:rPr>
        <w:t>‘</w:t>
      </w:r>
      <w:r w:rsidR="00D221B1">
        <w:rPr>
          <w:color w:val="000000"/>
          <w:sz w:val="20"/>
          <w:szCs w:val="20"/>
          <w:highlight w:val="white"/>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r>
        <w:rPr>
          <w:color w:val="000000"/>
          <w:sz w:val="20"/>
          <w:szCs w:val="20"/>
          <w:highlight w:val="white"/>
        </w:rPr>
        <w:t>’</w:t>
      </w:r>
    </w:p>
    <w:p w14:paraId="2685988D" w14:textId="77777777" w:rsidR="00BE7F54" w:rsidRDefault="00BE7F54">
      <w:pPr>
        <w:widowControl w:val="0"/>
        <w:spacing w:line="240" w:lineRule="auto"/>
        <w:rPr>
          <w:sz w:val="20"/>
          <w:szCs w:val="20"/>
        </w:rPr>
      </w:pPr>
    </w:p>
    <w:p w14:paraId="45593170" w14:textId="6953B91D" w:rsidR="00BE7F54" w:rsidRDefault="00D221B1" w:rsidP="001D7EAE">
      <w:pPr>
        <w:widowControl w:val="0"/>
        <w:spacing w:line="240" w:lineRule="auto"/>
        <w:rPr>
          <w:sz w:val="20"/>
          <w:szCs w:val="20"/>
        </w:rPr>
      </w:pPr>
      <w:r>
        <w:rPr>
          <w:sz w:val="20"/>
          <w:szCs w:val="20"/>
        </w:rPr>
        <w:t>Chan, L. et al. 2002. Budapest Open Access Initiative. New York: Open Society Institute. Available at: http://www.soros.org/openaccess/read.shtml [Accessed: 18 November 2015]</w:t>
      </w:r>
      <w:r>
        <w:br w:type="page"/>
      </w:r>
    </w:p>
    <w:p w14:paraId="36CB28E5" w14:textId="7FA041F7" w:rsidR="001D7EAE" w:rsidRPr="001D7EAE" w:rsidRDefault="001D7EAE" w:rsidP="001D7EAE">
      <w:pPr>
        <w:keepNext/>
        <w:keepLines/>
        <w:pBdr>
          <w:top w:val="nil"/>
          <w:left w:val="nil"/>
          <w:bottom w:val="nil"/>
          <w:right w:val="nil"/>
          <w:between w:val="nil"/>
        </w:pBdr>
        <w:spacing w:after="200" w:line="240" w:lineRule="auto"/>
        <w:rPr>
          <w:b/>
          <w:bCs/>
          <w:color w:val="000000"/>
          <w:sz w:val="36"/>
          <w:szCs w:val="36"/>
          <w:lang w:val="en-CA"/>
        </w:rPr>
      </w:pPr>
      <w:r w:rsidRPr="001D7EAE">
        <w:rPr>
          <w:b/>
          <w:bCs/>
          <w:color w:val="000000"/>
          <w:sz w:val="36"/>
          <w:szCs w:val="36"/>
          <w:lang w:val="en-CA"/>
        </w:rPr>
        <w:lastRenderedPageBreak/>
        <w:t xml:space="preserve">‘Babe… </w:t>
      </w:r>
      <w:r w:rsidR="00AE1F6B" w:rsidRPr="001D7EAE">
        <w:rPr>
          <w:b/>
          <w:bCs/>
          <w:color w:val="000000"/>
          <w:sz w:val="36"/>
          <w:szCs w:val="36"/>
          <w:lang w:val="en-CA"/>
        </w:rPr>
        <w:t>you're a bit of a know it a</w:t>
      </w:r>
      <w:r w:rsidRPr="001D7EAE">
        <w:rPr>
          <w:b/>
          <w:bCs/>
          <w:color w:val="000000"/>
          <w:sz w:val="36"/>
          <w:szCs w:val="36"/>
          <w:lang w:val="en-CA"/>
        </w:rPr>
        <w:t xml:space="preserve">ll’: Student </w:t>
      </w:r>
      <w:r w:rsidR="00AE1F6B" w:rsidRPr="001D7EAE">
        <w:rPr>
          <w:b/>
          <w:bCs/>
          <w:color w:val="000000"/>
          <w:sz w:val="36"/>
          <w:szCs w:val="36"/>
          <w:lang w:val="en-CA"/>
        </w:rPr>
        <w:t>love and breakup letters to a library research skills t</w:t>
      </w:r>
      <w:r w:rsidRPr="001D7EAE">
        <w:rPr>
          <w:b/>
          <w:bCs/>
          <w:color w:val="000000"/>
          <w:sz w:val="36"/>
          <w:szCs w:val="36"/>
          <w:lang w:val="en-CA"/>
        </w:rPr>
        <w:t xml:space="preserve">utorial </w:t>
      </w:r>
    </w:p>
    <w:p w14:paraId="37F14B06" w14:textId="3049AA06" w:rsidR="00BE7F54" w:rsidRDefault="001D7EAE">
      <w:pPr>
        <w:keepNext/>
        <w:keepLines/>
        <w:pBdr>
          <w:top w:val="nil"/>
          <w:left w:val="nil"/>
          <w:bottom w:val="nil"/>
          <w:right w:val="nil"/>
          <w:between w:val="nil"/>
        </w:pBdr>
        <w:spacing w:after="200" w:line="240" w:lineRule="auto"/>
        <w:rPr>
          <w:b/>
          <w:color w:val="000000"/>
          <w:sz w:val="28"/>
          <w:szCs w:val="28"/>
        </w:rPr>
      </w:pPr>
      <w:r>
        <w:rPr>
          <w:b/>
          <w:color w:val="000000"/>
          <w:sz w:val="28"/>
          <w:szCs w:val="28"/>
        </w:rPr>
        <w:t>Danielle Dennie</w:t>
      </w:r>
      <w:r w:rsidR="00D221B1">
        <w:rPr>
          <w:b/>
          <w:color w:val="000000"/>
          <w:sz w:val="28"/>
          <w:szCs w:val="28"/>
        </w:rPr>
        <w:t xml:space="preserve">, </w:t>
      </w:r>
      <w:r w:rsidR="00A2078A">
        <w:rPr>
          <w:b/>
          <w:color w:val="000000"/>
          <w:sz w:val="28"/>
          <w:szCs w:val="28"/>
        </w:rPr>
        <w:t>Research Data Librarian</w:t>
      </w:r>
      <w:r w:rsidR="00D221B1">
        <w:rPr>
          <w:b/>
          <w:color w:val="000000"/>
          <w:sz w:val="28"/>
          <w:szCs w:val="28"/>
        </w:rPr>
        <w:t xml:space="preserve">, </w:t>
      </w:r>
      <w:r w:rsidR="00A2078A">
        <w:rPr>
          <w:b/>
          <w:color w:val="000000"/>
          <w:sz w:val="28"/>
          <w:szCs w:val="28"/>
        </w:rPr>
        <w:t>Concordia University Library</w:t>
      </w:r>
      <w:r w:rsidR="00D221B1">
        <w:rPr>
          <w:b/>
          <w:color w:val="000000"/>
          <w:sz w:val="28"/>
          <w:szCs w:val="28"/>
        </w:rPr>
        <w:t xml:space="preserve">. </w:t>
      </w:r>
      <w:hyperlink r:id="rId10" w:history="1">
        <w:r w:rsidR="00A2078A" w:rsidRPr="00A2078A">
          <w:rPr>
            <w:rStyle w:val="Hyperlink"/>
            <w:b/>
            <w:sz w:val="28"/>
            <w:szCs w:val="28"/>
          </w:rPr>
          <w:t>Danielle.Dennie@concordia.ca</w:t>
        </w:r>
      </w:hyperlink>
      <w:r w:rsidR="00D221B1">
        <w:rPr>
          <w:b/>
          <w:color w:val="000000"/>
          <w:sz w:val="28"/>
          <w:szCs w:val="28"/>
        </w:rPr>
        <w:t xml:space="preserve">. </w:t>
      </w:r>
      <w:r w:rsidR="00A2078A">
        <w:rPr>
          <w:b/>
          <w:color w:val="000000"/>
          <w:sz w:val="28"/>
          <w:szCs w:val="28"/>
        </w:rPr>
        <w:t>ORCID:</w:t>
      </w:r>
      <w:r w:rsidR="000924D3">
        <w:rPr>
          <w:b/>
          <w:color w:val="000000"/>
          <w:sz w:val="28"/>
          <w:szCs w:val="28"/>
        </w:rPr>
        <w:t xml:space="preserve"> </w:t>
      </w:r>
      <w:hyperlink r:id="rId11" w:history="1">
        <w:r w:rsidR="000924D3" w:rsidRPr="00120B1E">
          <w:rPr>
            <w:rStyle w:val="Hyperlink"/>
            <w:b/>
            <w:sz w:val="28"/>
            <w:szCs w:val="28"/>
          </w:rPr>
          <w:t>0000-0003-3771-2450</w:t>
        </w:r>
      </w:hyperlink>
      <w:r w:rsidR="00D221B1">
        <w:rPr>
          <w:b/>
          <w:color w:val="000000"/>
          <w:sz w:val="28"/>
          <w:szCs w:val="28"/>
        </w:rPr>
        <w:t xml:space="preserve">. </w:t>
      </w:r>
    </w:p>
    <w:p w14:paraId="5718BE92" w14:textId="784B1BC2" w:rsidR="001D7EAE" w:rsidRDefault="001D7EAE">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Susie Breier, </w:t>
      </w:r>
      <w:r w:rsidR="00D475C8" w:rsidRPr="00D475C8">
        <w:rPr>
          <w:b/>
          <w:color w:val="000000"/>
          <w:sz w:val="28"/>
          <w:szCs w:val="28"/>
        </w:rPr>
        <w:t>Reference &amp; Subject Librarian, Concordia University Library</w:t>
      </w:r>
      <w:r>
        <w:rPr>
          <w:b/>
          <w:color w:val="000000"/>
          <w:sz w:val="28"/>
          <w:szCs w:val="28"/>
        </w:rPr>
        <w:t xml:space="preserve">. </w:t>
      </w:r>
      <w:hyperlink r:id="rId12" w:history="1">
        <w:r w:rsidR="00A2078A" w:rsidRPr="00A2078A">
          <w:rPr>
            <w:rStyle w:val="Hyperlink"/>
            <w:b/>
            <w:sz w:val="28"/>
            <w:szCs w:val="28"/>
          </w:rPr>
          <w:t>Susie.Breier@concordia.ca</w:t>
        </w:r>
      </w:hyperlink>
      <w:r>
        <w:rPr>
          <w:b/>
          <w:color w:val="000000"/>
          <w:sz w:val="28"/>
          <w:szCs w:val="28"/>
        </w:rPr>
        <w:t xml:space="preserve">. </w:t>
      </w:r>
    </w:p>
    <w:p w14:paraId="3ED7F760" w14:textId="77777777" w:rsidR="00BE7F54" w:rsidRDefault="00D221B1">
      <w:pPr>
        <w:keepNext/>
        <w:keepLines/>
        <w:pBdr>
          <w:top w:val="nil"/>
          <w:left w:val="nil"/>
          <w:bottom w:val="nil"/>
          <w:right w:val="nil"/>
          <w:between w:val="nil"/>
        </w:pBdr>
        <w:spacing w:after="200" w:line="240" w:lineRule="auto"/>
        <w:rPr>
          <w:b/>
          <w:color w:val="000000"/>
          <w:sz w:val="28"/>
          <w:szCs w:val="28"/>
        </w:rPr>
      </w:pPr>
      <w:r>
        <w:rPr>
          <w:b/>
          <w:color w:val="000000"/>
          <w:sz w:val="28"/>
          <w:szCs w:val="28"/>
        </w:rPr>
        <w:t>Abstract</w:t>
      </w:r>
    </w:p>
    <w:p w14:paraId="01B71B33" w14:textId="7474DCF5" w:rsidR="001D7EAE" w:rsidRPr="001D7EAE" w:rsidRDefault="001D7EAE" w:rsidP="001D7EAE">
      <w:pPr>
        <w:pBdr>
          <w:top w:val="nil"/>
          <w:left w:val="nil"/>
          <w:bottom w:val="nil"/>
          <w:right w:val="nil"/>
          <w:between w:val="nil"/>
        </w:pBdr>
        <w:spacing w:line="240" w:lineRule="auto"/>
        <w:rPr>
          <w:color w:val="000000"/>
          <w:lang w:val="en-CA"/>
        </w:rPr>
      </w:pPr>
      <w:r w:rsidRPr="001D7EAE">
        <w:rPr>
          <w:color w:val="000000"/>
          <w:lang w:val="en-CA"/>
        </w:rPr>
        <w:t xml:space="preserve">This study employed a novel user experience method, the love/breakup letter, to evaluate the usefulness of an online information literacy </w:t>
      </w:r>
      <w:r w:rsidR="00034213">
        <w:rPr>
          <w:color w:val="000000"/>
          <w:lang w:val="en-CA"/>
        </w:rPr>
        <w:t xml:space="preserve">(IL) </w:t>
      </w:r>
      <w:r w:rsidRPr="001D7EAE">
        <w:rPr>
          <w:color w:val="000000"/>
          <w:lang w:val="en-CA"/>
        </w:rPr>
        <w:t xml:space="preserve">tutorial for students writing assignments with research requirements. Thematic coding of the letters showed that this method elicited revealing responses from students about their confidence in doing library research, preferred learning styles, and intentions to use such a tool again. In contrast with highly-favourable prelaunch user testing results, the majority of students wrote breakup letters to the tutorial and several bypassed it altogether despite their explicit assignment instructions. The findings have implications for librarians exploring new research methods and investigating practical applications of online </w:t>
      </w:r>
      <w:r w:rsidR="00034213">
        <w:rPr>
          <w:color w:val="000000"/>
          <w:lang w:val="en-CA"/>
        </w:rPr>
        <w:t>IL</w:t>
      </w:r>
      <w:r w:rsidRPr="001D7EAE">
        <w:rPr>
          <w:color w:val="000000"/>
          <w:lang w:val="en-CA"/>
        </w:rPr>
        <w:t xml:space="preserve"> teaching tools designed for self-directed learning.</w:t>
      </w:r>
    </w:p>
    <w:p w14:paraId="125F47F5" w14:textId="702579FE" w:rsidR="00BE7F54" w:rsidRDefault="00BE7F54">
      <w:pPr>
        <w:pBdr>
          <w:top w:val="nil"/>
          <w:left w:val="nil"/>
          <w:bottom w:val="nil"/>
          <w:right w:val="nil"/>
          <w:between w:val="nil"/>
        </w:pBdr>
        <w:spacing w:line="240" w:lineRule="auto"/>
        <w:rPr>
          <w:color w:val="000000"/>
        </w:rPr>
      </w:pPr>
    </w:p>
    <w:p w14:paraId="68C5F6A3" w14:textId="1C7696F4" w:rsidR="001D7EAE" w:rsidRDefault="001D7EAE" w:rsidP="001D7EAE">
      <w:pPr>
        <w:keepNext/>
        <w:keepLines/>
        <w:pBdr>
          <w:top w:val="nil"/>
          <w:left w:val="nil"/>
          <w:bottom w:val="nil"/>
          <w:right w:val="nil"/>
          <w:between w:val="nil"/>
        </w:pBdr>
        <w:spacing w:after="200" w:line="240" w:lineRule="auto"/>
        <w:rPr>
          <w:b/>
          <w:color w:val="000000"/>
          <w:sz w:val="28"/>
          <w:szCs w:val="28"/>
        </w:rPr>
      </w:pPr>
      <w:r w:rsidRPr="001D7EAE">
        <w:rPr>
          <w:b/>
          <w:color w:val="000000"/>
          <w:sz w:val="28"/>
          <w:szCs w:val="28"/>
        </w:rPr>
        <w:t>Keywords</w:t>
      </w:r>
    </w:p>
    <w:p w14:paraId="0C89D8D3" w14:textId="424D8A08" w:rsidR="001D7EAE" w:rsidRPr="001D7EAE" w:rsidRDefault="00034213" w:rsidP="001D7EAE">
      <w:pPr>
        <w:rPr>
          <w:lang w:val="en-CA"/>
        </w:rPr>
      </w:pPr>
      <w:r>
        <w:rPr>
          <w:lang w:val="en-CA"/>
        </w:rPr>
        <w:t>Canada; i</w:t>
      </w:r>
      <w:r w:rsidR="001D7EAE">
        <w:rPr>
          <w:lang w:val="en-CA"/>
        </w:rPr>
        <w:t>nformation literacy; l</w:t>
      </w:r>
      <w:r w:rsidR="001D7EAE" w:rsidRPr="005104B6">
        <w:rPr>
          <w:lang w:val="en-CA"/>
        </w:rPr>
        <w:t xml:space="preserve">ove/breakup letter method; </w:t>
      </w:r>
      <w:r w:rsidR="001D7EAE">
        <w:rPr>
          <w:lang w:val="en-CA"/>
        </w:rPr>
        <w:t>o</w:t>
      </w:r>
      <w:r w:rsidR="001D7EAE" w:rsidRPr="005104B6">
        <w:rPr>
          <w:lang w:val="en-CA"/>
        </w:rPr>
        <w:t xml:space="preserve">nline tutorial evaluation; </w:t>
      </w:r>
      <w:r w:rsidR="001D7EAE" w:rsidRPr="003C2C24">
        <w:rPr>
          <w:lang w:val="en-CA"/>
        </w:rPr>
        <w:t>qualitative study</w:t>
      </w:r>
      <w:r w:rsidR="001D7EAE">
        <w:rPr>
          <w:lang w:val="en-CA"/>
        </w:rPr>
        <w:t>; u</w:t>
      </w:r>
      <w:r w:rsidR="001D7EAE" w:rsidRPr="005104B6">
        <w:rPr>
          <w:lang w:val="en-CA"/>
        </w:rPr>
        <w:t>ser experience</w:t>
      </w:r>
    </w:p>
    <w:p w14:paraId="6C582A17" w14:textId="77777777" w:rsidR="00BE7F54" w:rsidRDefault="0071070E">
      <w:pPr>
        <w:pBdr>
          <w:top w:val="nil"/>
          <w:left w:val="nil"/>
          <w:bottom w:val="nil"/>
          <w:right w:val="nil"/>
          <w:between w:val="nil"/>
        </w:pBdr>
        <w:spacing w:line="240" w:lineRule="auto"/>
        <w:rPr>
          <w:color w:val="000000"/>
        </w:rPr>
      </w:pPr>
      <w:r>
        <w:rPr>
          <w:noProof/>
        </w:rPr>
      </w:r>
      <w:r w:rsidR="0071070E">
        <w:rPr>
          <w:noProof/>
        </w:rPr>
        <w:pict w14:anchorId="3A19D615">
          <v:rect id="_x0000_i1025" alt="" style="width:451.3pt;height:.05pt;mso-width-percent:0;mso-height-percent:0;mso-width-percent:0;mso-height-percent:0" o:hralign="center" o:hrstd="t" o:hr="t" fillcolor="#a0a0a0" stroked="f"/>
        </w:pict>
      </w:r>
    </w:p>
    <w:p w14:paraId="0D539504" w14:textId="77777777" w:rsidR="00BE7F54" w:rsidRDefault="00BE7F54">
      <w:pPr>
        <w:pBdr>
          <w:top w:val="nil"/>
          <w:left w:val="nil"/>
          <w:bottom w:val="nil"/>
          <w:right w:val="nil"/>
          <w:between w:val="nil"/>
        </w:pBdr>
        <w:spacing w:line="240" w:lineRule="auto"/>
        <w:rPr>
          <w:color w:val="000000"/>
        </w:rPr>
      </w:pPr>
    </w:p>
    <w:p w14:paraId="5A887A37" w14:textId="78B5342A" w:rsidR="00BE7F54" w:rsidRDefault="00FA5F06">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1. </w:t>
      </w:r>
      <w:r w:rsidR="001D7EAE">
        <w:rPr>
          <w:b/>
          <w:color w:val="000000"/>
          <w:sz w:val="28"/>
          <w:szCs w:val="28"/>
        </w:rPr>
        <w:t>Introduction</w:t>
      </w:r>
    </w:p>
    <w:p w14:paraId="6227C6F0" w14:textId="77777777" w:rsidR="001D7EAE" w:rsidRPr="005104B6" w:rsidRDefault="001D7EAE" w:rsidP="001D7EAE">
      <w:pPr>
        <w:ind w:left="357" w:right="1440"/>
        <w:rPr>
          <w:sz w:val="28"/>
          <w:lang w:val="en-CA"/>
        </w:rPr>
      </w:pPr>
      <w:r w:rsidRPr="005104B6">
        <w:rPr>
          <w:i/>
          <w:iCs/>
          <w:color w:val="000000"/>
          <w:szCs w:val="20"/>
          <w:lang w:val="en-CA"/>
        </w:rPr>
        <w:t>Dear Library Research Skills Tutorial,</w:t>
      </w:r>
    </w:p>
    <w:p w14:paraId="2B07CB8B" w14:textId="77777777" w:rsidR="001D7EAE" w:rsidRDefault="001D7EAE" w:rsidP="001D7EAE">
      <w:pPr>
        <w:ind w:left="357" w:right="1440"/>
        <w:rPr>
          <w:i/>
          <w:iCs/>
          <w:color w:val="000000"/>
          <w:szCs w:val="20"/>
          <w:lang w:val="en-CA"/>
        </w:rPr>
      </w:pPr>
      <w:r w:rsidRPr="005104B6">
        <w:rPr>
          <w:i/>
          <w:iCs/>
          <w:color w:val="000000"/>
          <w:szCs w:val="20"/>
          <w:lang w:val="en-CA"/>
        </w:rPr>
        <w:t>You’re just not that important to me. We’re in different places. We would have been good together a few years ago, when I was young and didn’t know what I was doing.  But I’m older now, more mature, and I don’t need you.</w:t>
      </w:r>
    </w:p>
    <w:p w14:paraId="65184B9E" w14:textId="77777777" w:rsidR="001D7EAE" w:rsidRPr="00793508" w:rsidRDefault="001D7EAE" w:rsidP="001D7EAE">
      <w:pPr>
        <w:ind w:left="357" w:right="1440"/>
        <w:rPr>
          <w:i/>
          <w:iCs/>
          <w:color w:val="000000"/>
          <w:szCs w:val="20"/>
          <w:lang w:val="en-CA"/>
        </w:rPr>
      </w:pPr>
      <w:r w:rsidRPr="005104B6">
        <w:rPr>
          <w:i/>
          <w:iCs/>
          <w:color w:val="000000"/>
          <w:szCs w:val="20"/>
          <w:lang w:val="en-CA"/>
        </w:rPr>
        <w:t>Best of luck</w:t>
      </w:r>
      <w:r w:rsidRPr="005104B6">
        <w:rPr>
          <w:i/>
          <w:iCs/>
          <w:color w:val="000000"/>
          <w:szCs w:val="20"/>
          <w:lang w:val="en-CA"/>
        </w:rPr>
        <w:br/>
      </w:r>
      <w:r w:rsidRPr="005104B6">
        <w:rPr>
          <w:color w:val="000000"/>
          <w:szCs w:val="20"/>
          <w:lang w:val="en-CA"/>
        </w:rPr>
        <w:t>(Student #14)</w:t>
      </w:r>
    </w:p>
    <w:p w14:paraId="7019C81C" w14:textId="77777777" w:rsidR="001D7EAE" w:rsidRDefault="001D7EAE" w:rsidP="001D7EAE">
      <w:pPr>
        <w:rPr>
          <w:sz w:val="28"/>
          <w:lang w:val="en-CA"/>
        </w:rPr>
      </w:pPr>
    </w:p>
    <w:p w14:paraId="281EC09A" w14:textId="302B62FB" w:rsidR="001D7EAE" w:rsidRDefault="001D7EAE" w:rsidP="001D7EAE">
      <w:pPr>
        <w:rPr>
          <w:lang w:val="en-CA"/>
        </w:rPr>
      </w:pPr>
      <w:r w:rsidRPr="005104B6">
        <w:rPr>
          <w:lang w:val="en-CA"/>
        </w:rPr>
        <w:t xml:space="preserve">Online </w:t>
      </w:r>
      <w:r>
        <w:rPr>
          <w:lang w:val="en-CA"/>
        </w:rPr>
        <w:t>learning objects, now</w:t>
      </w:r>
      <w:r w:rsidRPr="005104B6">
        <w:rPr>
          <w:lang w:val="en-CA"/>
        </w:rPr>
        <w:t xml:space="preserve"> ubiquitous in academic libraries,</w:t>
      </w:r>
      <w:r>
        <w:rPr>
          <w:lang w:val="en-CA"/>
        </w:rPr>
        <w:t xml:space="preserve"> offer the</w:t>
      </w:r>
      <w:r w:rsidRPr="005104B6">
        <w:rPr>
          <w:lang w:val="en-CA"/>
        </w:rPr>
        <w:t xml:space="preserve"> potential </w:t>
      </w:r>
      <w:r>
        <w:rPr>
          <w:lang w:val="en-CA"/>
        </w:rPr>
        <w:t xml:space="preserve">to support </w:t>
      </w:r>
      <w:r w:rsidRPr="005104B6">
        <w:rPr>
          <w:lang w:val="en-CA"/>
        </w:rPr>
        <w:t xml:space="preserve">self-directed </w:t>
      </w:r>
      <w:r>
        <w:rPr>
          <w:lang w:val="en-CA"/>
        </w:rPr>
        <w:t xml:space="preserve">learning and </w:t>
      </w:r>
      <w:r w:rsidRPr="005104B6">
        <w:rPr>
          <w:lang w:val="en-CA"/>
        </w:rPr>
        <w:t>supplement</w:t>
      </w:r>
      <w:r>
        <w:rPr>
          <w:lang w:val="en-CA"/>
        </w:rPr>
        <w:t xml:space="preserve"> or even replace</w:t>
      </w:r>
      <w:r w:rsidRPr="005104B6">
        <w:rPr>
          <w:lang w:val="en-CA"/>
        </w:rPr>
        <w:t xml:space="preserve"> face-to-face instruction</w:t>
      </w:r>
      <w:r>
        <w:rPr>
          <w:lang w:val="en-CA"/>
        </w:rPr>
        <w:t xml:space="preserve"> </w:t>
      </w:r>
      <w:r w:rsidRPr="005104B6">
        <w:rPr>
          <w:lang w:val="en-CA"/>
        </w:rPr>
        <w:t>(Saunders, 2018; Thornes, 2012; Watts, 2018).</w:t>
      </w:r>
      <w:r>
        <w:rPr>
          <w:lang w:val="en-CA"/>
        </w:rPr>
        <w:t xml:space="preserve"> To that end, i</w:t>
      </w:r>
      <w:r w:rsidRPr="005104B6">
        <w:rPr>
          <w:lang w:val="en-CA"/>
        </w:rPr>
        <w:t xml:space="preserve">n February 2018, </w:t>
      </w:r>
      <w:r>
        <w:rPr>
          <w:lang w:val="en-CA"/>
        </w:rPr>
        <w:t>Concordia University Library</w:t>
      </w:r>
      <w:r w:rsidRPr="005104B6">
        <w:rPr>
          <w:lang w:val="en-CA"/>
        </w:rPr>
        <w:t xml:space="preserve">, a library in an urban comprehensive university in </w:t>
      </w:r>
      <w:r>
        <w:rPr>
          <w:lang w:val="en-CA"/>
        </w:rPr>
        <w:t>Montréal, Canada</w:t>
      </w:r>
      <w:r w:rsidRPr="005104B6">
        <w:rPr>
          <w:lang w:val="en-CA"/>
        </w:rPr>
        <w:t>, launched the Library Research Skills Tutorial</w:t>
      </w:r>
      <w:r>
        <w:rPr>
          <w:lang w:val="en-CA"/>
        </w:rPr>
        <w:t>. Comprised of thematic guides</w:t>
      </w:r>
      <w:r w:rsidRPr="005104B6">
        <w:rPr>
          <w:lang w:val="en-CA"/>
        </w:rPr>
        <w:t>, videos and learning activities</w:t>
      </w:r>
      <w:r>
        <w:rPr>
          <w:lang w:val="en-CA"/>
        </w:rPr>
        <w:t xml:space="preserve">, the seven-module tutorial was envisioned as a self-directed learning tool that would effectively help students </w:t>
      </w:r>
      <w:r w:rsidRPr="009C70EC">
        <w:rPr>
          <w:lang w:val="en-CA"/>
        </w:rPr>
        <w:t>find</w:t>
      </w:r>
      <w:r>
        <w:rPr>
          <w:lang w:val="en-CA"/>
        </w:rPr>
        <w:t xml:space="preserve">, cite and evaluate </w:t>
      </w:r>
      <w:r w:rsidRPr="009C70EC">
        <w:rPr>
          <w:lang w:val="en-CA"/>
        </w:rPr>
        <w:t xml:space="preserve">appropriate information sources for </w:t>
      </w:r>
      <w:r>
        <w:rPr>
          <w:lang w:val="en-CA"/>
        </w:rPr>
        <w:t xml:space="preserve">their research assignments, especially </w:t>
      </w:r>
      <w:r w:rsidRPr="00434BD0">
        <w:rPr>
          <w:lang w:val="en-CA"/>
        </w:rPr>
        <w:t>when library workshops or librarian consultations were not</w:t>
      </w:r>
      <w:r>
        <w:rPr>
          <w:lang w:val="en-CA"/>
        </w:rPr>
        <w:t xml:space="preserve"> feasible. </w:t>
      </w:r>
      <w:r w:rsidRPr="005104B6">
        <w:rPr>
          <w:lang w:val="en-CA"/>
        </w:rPr>
        <w:t xml:space="preserve">Informal prelaunch user testing </w:t>
      </w:r>
      <w:r>
        <w:rPr>
          <w:lang w:val="en-CA"/>
        </w:rPr>
        <w:t xml:space="preserve">of the tutorial </w:t>
      </w:r>
      <w:r w:rsidRPr="005104B6">
        <w:rPr>
          <w:lang w:val="en-CA"/>
        </w:rPr>
        <w:t>garnered positive feedback, with participants attesting in surveys that the sections they reviewed were clear, useful, well designed</w:t>
      </w:r>
      <w:r>
        <w:rPr>
          <w:lang w:val="en-CA"/>
        </w:rPr>
        <w:t xml:space="preserve"> and </w:t>
      </w:r>
      <w:r w:rsidRPr="005104B6">
        <w:rPr>
          <w:lang w:val="en-CA"/>
        </w:rPr>
        <w:t xml:space="preserve">easy to navigate. </w:t>
      </w:r>
      <w:r w:rsidRPr="003736C6">
        <w:rPr>
          <w:lang w:val="en-CA"/>
        </w:rPr>
        <w:t xml:space="preserve">Yet these tests took place inside the library, with recruited participants. They thus revealed little about the intended applications of the tutorial as a tool which students might find relevant when pursuing habitual academic activities. This study therefore first aimed to investigate whether the </w:t>
      </w:r>
      <w:r w:rsidRPr="003736C6">
        <w:rPr>
          <w:lang w:val="en-CA"/>
        </w:rPr>
        <w:lastRenderedPageBreak/>
        <w:t>Library Research Skills Tutorial would be useful when recommended to students with actual research assignments in specific courses.</w:t>
      </w:r>
    </w:p>
    <w:p w14:paraId="0B81057D" w14:textId="77777777" w:rsidR="00034213" w:rsidRDefault="00034213" w:rsidP="001D7EAE">
      <w:pPr>
        <w:rPr>
          <w:lang w:val="en-CA"/>
        </w:rPr>
      </w:pPr>
    </w:p>
    <w:p w14:paraId="3ECF931C" w14:textId="77777777" w:rsidR="001D7EAE" w:rsidRDefault="001D7EAE" w:rsidP="001D7EAE">
      <w:pPr>
        <w:rPr>
          <w:lang w:val="en-CA"/>
        </w:rPr>
      </w:pPr>
      <w:r w:rsidRPr="003736C6">
        <w:rPr>
          <w:lang w:val="en-CA"/>
        </w:rPr>
        <w:t>In addition, rather than focus on discrete measures of effectiveness or potential areas for design improvement, the authors hoped to capture students’ instinctive reactions to the tutorial within their own circumstances and context. Consequently, the love/breakup letter method was employed as an alternative to the more common surveys, focus groups and usability studies. Though this novel user experience (UX) method has been gaining momentum in the library world as a new way of exploring students’ affective reactions to tools and services, it is still not prevalent within the academic library literature. This study therefore also sought to investigate whether love/breakup letters could be effectively employed and analyzed as part of a qualitative library study.</w:t>
      </w:r>
    </w:p>
    <w:p w14:paraId="3C4B77BB" w14:textId="77777777" w:rsidR="001D7EAE" w:rsidRPr="005104B6" w:rsidRDefault="001D7EAE" w:rsidP="001D7EAE">
      <w:pPr>
        <w:rPr>
          <w:lang w:val="en-CA"/>
        </w:rPr>
      </w:pPr>
    </w:p>
    <w:p w14:paraId="363D239D" w14:textId="77777777" w:rsidR="001D7EAE" w:rsidRPr="001546A8" w:rsidRDefault="001D7EAE" w:rsidP="001546A8">
      <w:pPr>
        <w:keepNext/>
        <w:keepLines/>
        <w:pBdr>
          <w:top w:val="nil"/>
          <w:left w:val="nil"/>
          <w:bottom w:val="nil"/>
          <w:right w:val="nil"/>
          <w:between w:val="nil"/>
        </w:pBdr>
        <w:spacing w:after="200" w:line="240" w:lineRule="auto"/>
        <w:rPr>
          <w:b/>
          <w:color w:val="000000"/>
          <w:sz w:val="28"/>
          <w:szCs w:val="28"/>
        </w:rPr>
      </w:pPr>
      <w:r w:rsidRPr="001546A8">
        <w:rPr>
          <w:b/>
          <w:color w:val="000000"/>
          <w:sz w:val="28"/>
          <w:szCs w:val="28"/>
        </w:rPr>
        <w:t xml:space="preserve">2. Literature review </w:t>
      </w:r>
    </w:p>
    <w:p w14:paraId="628C2057" w14:textId="6875DDDC" w:rsidR="001D7EAE" w:rsidRPr="001546A8" w:rsidRDefault="001D7EAE" w:rsidP="001546A8">
      <w:pPr>
        <w:pStyle w:val="Heading3-JIL"/>
      </w:pPr>
      <w:r w:rsidRPr="001546A8">
        <w:t xml:space="preserve">2.1 Tutorial </w:t>
      </w:r>
      <w:r w:rsidR="00C16B73" w:rsidRPr="00C16B73">
        <w:t>best practices and evaluation methods</w:t>
      </w:r>
    </w:p>
    <w:p w14:paraId="34C18F6F" w14:textId="6AED8E63" w:rsidR="001D7EAE" w:rsidRDefault="001D7EAE" w:rsidP="001D7EAE">
      <w:pPr>
        <w:rPr>
          <w:lang w:val="en-CA"/>
        </w:rPr>
      </w:pPr>
      <w:r w:rsidRPr="005104B6">
        <w:rPr>
          <w:lang w:val="en-CA"/>
        </w:rPr>
        <w:t xml:space="preserve">Librarians seeking guidance on the design or redesign of information literacy </w:t>
      </w:r>
      <w:r w:rsidR="00845303">
        <w:rPr>
          <w:lang w:val="en-CA"/>
        </w:rPr>
        <w:t xml:space="preserve">(IL) </w:t>
      </w:r>
      <w:r w:rsidRPr="005104B6">
        <w:rPr>
          <w:lang w:val="en-CA"/>
        </w:rPr>
        <w:t>tutorials will find a rich pool of material to consult. Literature describing best practices and discussing evaluation and assessment is abundant, as evidenced by the publication of no less than three review articles in the last ten years (Blummer &amp; Kritskaya, 2009; Hartog, 2018; Watts, 2018).  </w:t>
      </w:r>
    </w:p>
    <w:p w14:paraId="00A86966" w14:textId="77777777" w:rsidR="001D7EAE" w:rsidRDefault="001D7EAE" w:rsidP="001D7EAE">
      <w:pPr>
        <w:rPr>
          <w:lang w:val="en-CA"/>
        </w:rPr>
      </w:pPr>
      <w:r w:rsidRPr="005104B6">
        <w:rPr>
          <w:lang w:val="en-CA"/>
        </w:rPr>
        <w:t xml:space="preserve">Yet consensus on what works best has by no means been reached. Researchers have frequently reported conflicting comments from users in their evaluations of tutorial characteristics such as length, pace, level of detail, interactivity, and level of difficulty (Bury &amp; Oud, 2005; Held &amp; Gil-Trejo, 2016; Weiner et al., 2012). Examples of ongoing debates include those over the usefulness of accommodating different learning styles (Rapchak, 2017; Watts, 2018), the effectiveness of split-screen guidance, as well as the true merits and meanings of interactivity (Hartog, 2018; Watts, 2018). Inconclusive findings such as these serve as reminders not only that tutorial designers face difficult challenges (Held &amp; Gil-Trejo, 2016) but also that students’ immediate context and motivations will often be at least as relevant as the instructional design of any one teaching tool (Mery et al., 2014; Watts, 2018). </w:t>
      </w:r>
    </w:p>
    <w:p w14:paraId="57E019E3" w14:textId="77777777" w:rsidR="001D7EAE" w:rsidRDefault="001D7EAE" w:rsidP="001D7EAE">
      <w:pPr>
        <w:rPr>
          <w:lang w:val="en-CA"/>
        </w:rPr>
      </w:pPr>
    </w:p>
    <w:p w14:paraId="4B4DFD45" w14:textId="251DAD0C" w:rsidR="001D7EAE" w:rsidRPr="008E0E53" w:rsidRDefault="001D7EAE" w:rsidP="001D7EAE">
      <w:pPr>
        <w:rPr>
          <w:b/>
          <w:bCs/>
          <w:lang w:val="en-CA"/>
        </w:rPr>
      </w:pPr>
      <w:r w:rsidRPr="008E0E53">
        <w:rPr>
          <w:b/>
          <w:bCs/>
          <w:lang w:val="en-CA"/>
        </w:rPr>
        <w:t xml:space="preserve">Evaluation </w:t>
      </w:r>
      <w:r w:rsidR="00C16B73" w:rsidRPr="008E0E53">
        <w:rPr>
          <w:b/>
          <w:bCs/>
          <w:lang w:val="en-CA"/>
        </w:rPr>
        <w:t>methods</w:t>
      </w:r>
    </w:p>
    <w:p w14:paraId="09FA2346" w14:textId="47B28430" w:rsidR="001D7EAE" w:rsidRPr="005104B6" w:rsidRDefault="001D7EAE" w:rsidP="001D7EAE">
      <w:pPr>
        <w:rPr>
          <w:lang w:val="en-CA"/>
        </w:rPr>
      </w:pPr>
      <w:r>
        <w:rPr>
          <w:lang w:val="en-CA"/>
        </w:rPr>
        <w:t>Researchers</w:t>
      </w:r>
      <w:r w:rsidRPr="005104B6">
        <w:rPr>
          <w:lang w:val="en-CA"/>
        </w:rPr>
        <w:t xml:space="preserve"> have employed pre/post tests to measure student learning on prepared questions (Mery et al., 2014; Tronstad et al., 2009</w:t>
      </w:r>
      <w:r>
        <w:rPr>
          <w:lang w:val="en-CA"/>
        </w:rPr>
        <w:t xml:space="preserve">) and </w:t>
      </w:r>
      <w:r w:rsidRPr="005104B6">
        <w:rPr>
          <w:lang w:val="en-CA"/>
        </w:rPr>
        <w:t>usability tests to observe the completion of specific tasks (Bender &amp; Rosen, 1998; Mestre, 2012)</w:t>
      </w:r>
      <w:r>
        <w:rPr>
          <w:lang w:val="en-CA"/>
        </w:rPr>
        <w:t xml:space="preserve">. </w:t>
      </w:r>
      <w:r w:rsidRPr="005104B6">
        <w:rPr>
          <w:lang w:val="en-CA"/>
        </w:rPr>
        <w:t>Surveys, focus groups and interviews have investigated student perceptions and assessments of tutorials (Phillips &amp; Kearly, 2003; Rothera, 2015; Scales et al</w:t>
      </w:r>
      <w:r w:rsidR="00C16B73">
        <w:rPr>
          <w:lang w:val="en-CA"/>
        </w:rPr>
        <w:t>.</w:t>
      </w:r>
      <w:r w:rsidRPr="005104B6">
        <w:rPr>
          <w:lang w:val="en-CA"/>
        </w:rPr>
        <w:t>, 2014; Weiner et al., 2012), often in combination with pre/post tests (Held &amp; Gil-Trejo, 2016; Noe &amp; Bishop, 2005; Tooman &amp; Sibthorpe, 2012) or usability studies (Bowles-Terry et al., 2010; Bury &amp; Oud, 2005; Veldof &amp; Beave</w:t>
      </w:r>
      <w:r>
        <w:rPr>
          <w:lang w:val="en-CA"/>
        </w:rPr>
        <w:t>r</w:t>
      </w:r>
      <w:r w:rsidRPr="005104B6">
        <w:rPr>
          <w:lang w:val="en-CA"/>
        </w:rPr>
        <w:t>s, 2001). </w:t>
      </w:r>
      <w:r w:rsidRPr="00434BD0">
        <w:rPr>
          <w:lang w:val="en-CA"/>
        </w:rPr>
        <w:t>Search term and web analytics data analysis has also been used to examine discoverability of tutorials on web sites as well as user motivation (Befus &amp; Byrne 2011; Nichols Hess &amp; Hristova 2016)</w:t>
      </w:r>
      <w:r w:rsidRPr="005104B6">
        <w:rPr>
          <w:lang w:val="en-CA"/>
        </w:rPr>
        <w:t>.</w:t>
      </w:r>
    </w:p>
    <w:p w14:paraId="5C27FAC9" w14:textId="77777777" w:rsidR="001D7EAE" w:rsidRDefault="001D7EAE" w:rsidP="001D7EAE">
      <w:pPr>
        <w:rPr>
          <w:lang w:val="en-CA"/>
        </w:rPr>
      </w:pPr>
    </w:p>
    <w:p w14:paraId="04CCE05E" w14:textId="0C96F4FA" w:rsidR="001D7EAE" w:rsidRPr="008E0E53" w:rsidRDefault="001D7EAE" w:rsidP="001D7EAE">
      <w:pPr>
        <w:rPr>
          <w:b/>
          <w:bCs/>
          <w:lang w:val="en-CA"/>
        </w:rPr>
      </w:pPr>
      <w:r>
        <w:rPr>
          <w:b/>
          <w:bCs/>
          <w:lang w:val="en-CA"/>
        </w:rPr>
        <w:t>Content and</w:t>
      </w:r>
      <w:r w:rsidR="00C16B73">
        <w:rPr>
          <w:b/>
          <w:bCs/>
          <w:lang w:val="en-CA"/>
        </w:rPr>
        <w:t xml:space="preserve"> scope</w:t>
      </w:r>
    </w:p>
    <w:p w14:paraId="42C8267A" w14:textId="08AA30FA" w:rsidR="001D7EAE" w:rsidRDefault="001D7EAE" w:rsidP="001D7EAE">
      <w:pPr>
        <w:rPr>
          <w:lang w:val="en-CA"/>
        </w:rPr>
      </w:pPr>
      <w:r>
        <w:rPr>
          <w:lang w:val="en-CA"/>
        </w:rPr>
        <w:t>Studies have repeatedly examined</w:t>
      </w:r>
      <w:r w:rsidRPr="005104B6">
        <w:rPr>
          <w:lang w:val="en-CA"/>
        </w:rPr>
        <w:t xml:space="preserve"> tutorial characteristics such as navigability, ease of use, clarity, level of detail, comprehensiveness, accessibility, findability and specific weaknesses in need of improvement (Bowles-Terry et al., 2010; </w:t>
      </w:r>
      <w:r w:rsidRPr="00434BD0">
        <w:rPr>
          <w:lang w:val="en-CA"/>
        </w:rPr>
        <w:t>Leslie 2017</w:t>
      </w:r>
      <w:r>
        <w:rPr>
          <w:lang w:val="en-CA"/>
        </w:rPr>
        <w:t xml:space="preserve">; </w:t>
      </w:r>
      <w:r w:rsidRPr="005104B6">
        <w:rPr>
          <w:lang w:val="en-CA"/>
        </w:rPr>
        <w:t>Scales et al., 2014; Weiner et al., 2012). Such evaluations have regularly led to tutorial enhancements or redesign (Befus &amp; Byrne, 2011; Bury &amp; Oud, 2005; Held &amp; Gil-Trejo, 2016; Phillips &amp; Kearly, 2003). </w:t>
      </w:r>
      <w:r>
        <w:rPr>
          <w:lang w:val="en-CA"/>
        </w:rPr>
        <w:t>Yet r</w:t>
      </w:r>
      <w:r w:rsidRPr="005104B6">
        <w:rPr>
          <w:lang w:val="en-CA"/>
        </w:rPr>
        <w:t xml:space="preserve">esearchers have less frequently explicitly reported investigating factors related to students’ own context and setting. The importance of such factors, however, has not escaped attention. </w:t>
      </w:r>
      <w:bookmarkStart w:id="0" w:name="_Hlk54954166"/>
      <w:r w:rsidRPr="005104B6">
        <w:rPr>
          <w:lang w:val="en-CA"/>
        </w:rPr>
        <w:t xml:space="preserve">As </w:t>
      </w:r>
      <w:r w:rsidRPr="005104B6">
        <w:rPr>
          <w:lang w:val="en-CA"/>
        </w:rPr>
        <w:lastRenderedPageBreak/>
        <w:t xml:space="preserve">early as 2001, Veldof and Beavers, citing Wiegand, declared their aspiration to </w:t>
      </w:r>
      <w:r w:rsidR="00292183">
        <w:rPr>
          <w:lang w:val="en-CA"/>
        </w:rPr>
        <w:t>‘</w:t>
      </w:r>
      <w:r w:rsidRPr="005104B6">
        <w:rPr>
          <w:lang w:val="en-CA"/>
        </w:rPr>
        <w:t>locate the library in the life of the user rather than the user in the life of the library’’ (p. 4), by for instance encouraging students to freely describe their overall attitudes toward library research and their personal expectations of the tutorial as applied to hypothetical course assignments. </w:t>
      </w:r>
      <w:bookmarkEnd w:id="0"/>
      <w:r w:rsidRPr="005104B6">
        <w:rPr>
          <w:lang w:val="en-CA"/>
        </w:rPr>
        <w:t xml:space="preserve">Scales et al. (2014) invited students to reflect on how they might apply the skills they learned from an online tutorial in an </w:t>
      </w:r>
      <w:r w:rsidR="00C16B73">
        <w:rPr>
          <w:lang w:val="en-CA"/>
        </w:rPr>
        <w:t>IL</w:t>
      </w:r>
      <w:r w:rsidRPr="005104B6">
        <w:rPr>
          <w:lang w:val="en-CA"/>
        </w:rPr>
        <w:t xml:space="preserve"> course to other classes, though answers to these questions were not described or analyzed in the</w:t>
      </w:r>
      <w:r>
        <w:rPr>
          <w:lang w:val="en-CA"/>
        </w:rPr>
        <w:t xml:space="preserve"> </w:t>
      </w:r>
      <w:r w:rsidRPr="005104B6">
        <w:rPr>
          <w:lang w:val="en-CA"/>
        </w:rPr>
        <w:t>article. Held and Gil-Trejo (2016) invited volunteer students to reflect on how they might or might not make use of the tutorials they were testing in their own academic journeys, but no specific courses or assignments were invoked. </w:t>
      </w:r>
    </w:p>
    <w:p w14:paraId="1378F63B" w14:textId="77777777" w:rsidR="001D7EAE" w:rsidRDefault="001D7EAE" w:rsidP="001D7EAE">
      <w:pPr>
        <w:rPr>
          <w:lang w:val="en-CA"/>
        </w:rPr>
      </w:pPr>
    </w:p>
    <w:p w14:paraId="228AFC18" w14:textId="653952FF" w:rsidR="001D7EAE" w:rsidRPr="008E0E53" w:rsidRDefault="001D7EAE" w:rsidP="001D7EAE">
      <w:pPr>
        <w:rPr>
          <w:b/>
          <w:bCs/>
          <w:lang w:val="en-CA"/>
        </w:rPr>
      </w:pPr>
      <w:r w:rsidRPr="008E0E53">
        <w:rPr>
          <w:b/>
          <w:bCs/>
          <w:lang w:val="en-CA"/>
        </w:rPr>
        <w:t xml:space="preserve">Participant </w:t>
      </w:r>
      <w:r w:rsidR="00C16B73" w:rsidRPr="008E0E53">
        <w:rPr>
          <w:b/>
          <w:bCs/>
          <w:lang w:val="en-CA"/>
        </w:rPr>
        <w:t>recruitment</w:t>
      </w:r>
      <w:r w:rsidR="00C16B73">
        <w:rPr>
          <w:b/>
          <w:bCs/>
          <w:lang w:val="en-CA"/>
        </w:rPr>
        <w:t xml:space="preserve"> and setting</w:t>
      </w:r>
    </w:p>
    <w:p w14:paraId="48F5E335" w14:textId="7DB6176D" w:rsidR="001D7EAE" w:rsidRDefault="001D7EAE" w:rsidP="001D7EAE">
      <w:pPr>
        <w:rPr>
          <w:lang w:val="en-CA"/>
        </w:rPr>
      </w:pPr>
      <w:r>
        <w:rPr>
          <w:lang w:val="en-CA"/>
        </w:rPr>
        <w:t>When evaluating freestanding online tutorials, researchers</w:t>
      </w:r>
      <w:r w:rsidRPr="005104B6">
        <w:rPr>
          <w:lang w:val="en-CA"/>
        </w:rPr>
        <w:t xml:space="preserve"> frequently report finding students via flyers or university portals (Mery et al., 2014; Turner et al., 2015) and offering them incentives such as cash or gift cards to take part in evaluation exercises </w:t>
      </w:r>
      <w:r>
        <w:rPr>
          <w:lang w:val="en-CA"/>
        </w:rPr>
        <w:t>set</w:t>
      </w:r>
      <w:r w:rsidRPr="005104B6">
        <w:rPr>
          <w:lang w:val="en-CA"/>
        </w:rPr>
        <w:t xml:space="preserve"> outside of the classroom (Bender &amp; Rosen, 1998; Bowles-Terry et al., 2010; Bury &amp; Oud, 2005; Held &amp; Gil-Trejo, 2016; Mestre, 2012; Veldoff &amp; Beave</w:t>
      </w:r>
      <w:r>
        <w:rPr>
          <w:lang w:val="en-CA"/>
        </w:rPr>
        <w:t>r</w:t>
      </w:r>
      <w:r w:rsidRPr="005104B6">
        <w:rPr>
          <w:lang w:val="en-CA"/>
        </w:rPr>
        <w:t xml:space="preserve">s, 2001). On the other hand, when tutorials are embedded within </w:t>
      </w:r>
      <w:r w:rsidR="00FA5F06">
        <w:rPr>
          <w:lang w:val="en-CA"/>
        </w:rPr>
        <w:t>IL</w:t>
      </w:r>
      <w:r w:rsidRPr="005104B6">
        <w:rPr>
          <w:lang w:val="en-CA"/>
        </w:rPr>
        <w:t xml:space="preserve"> or first-year course</w:t>
      </w:r>
      <w:r>
        <w:rPr>
          <w:lang w:val="en-CA"/>
        </w:rPr>
        <w:t>s</w:t>
      </w:r>
      <w:r w:rsidRPr="005104B6">
        <w:rPr>
          <w:lang w:val="en-CA"/>
        </w:rPr>
        <w:t>, registered students usually serve as the study participants, often as a mandatory part of the course (Noe &amp; Bishop, 2005; Scales et al., 2014; Tooman &amp; Sibthorpe, 2012). </w:t>
      </w:r>
    </w:p>
    <w:p w14:paraId="1A43EB32" w14:textId="77777777" w:rsidR="00C16B73" w:rsidRDefault="00C16B73" w:rsidP="001D7EAE">
      <w:pPr>
        <w:rPr>
          <w:lang w:val="en-CA"/>
        </w:rPr>
      </w:pPr>
    </w:p>
    <w:p w14:paraId="1C1A54D4" w14:textId="4DADB5BF" w:rsidR="001D7EAE" w:rsidRDefault="001D7EAE" w:rsidP="001D7EAE">
      <w:pPr>
        <w:rPr>
          <w:lang w:val="en-CA"/>
        </w:rPr>
      </w:pPr>
      <w:r w:rsidRPr="005104B6">
        <w:rPr>
          <w:lang w:val="en-CA"/>
        </w:rPr>
        <w:t>In few of these cases</w:t>
      </w:r>
      <w:r>
        <w:rPr>
          <w:lang w:val="en-CA"/>
        </w:rPr>
        <w:t xml:space="preserve"> </w:t>
      </w:r>
      <w:r w:rsidRPr="005104B6">
        <w:rPr>
          <w:lang w:val="en-CA"/>
        </w:rPr>
        <w:t xml:space="preserve">are participants testing </w:t>
      </w:r>
      <w:r>
        <w:rPr>
          <w:lang w:val="en-CA"/>
        </w:rPr>
        <w:t xml:space="preserve">an online </w:t>
      </w:r>
      <w:r w:rsidR="00FA5F06">
        <w:rPr>
          <w:lang w:val="en-CA"/>
        </w:rPr>
        <w:t>IL</w:t>
      </w:r>
      <w:r w:rsidRPr="005104B6">
        <w:rPr>
          <w:lang w:val="en-CA"/>
        </w:rPr>
        <w:t xml:space="preserve"> tutorial as a self-directed research tool for class assignments which were not </w:t>
      </w:r>
      <w:r>
        <w:rPr>
          <w:lang w:val="en-CA"/>
        </w:rPr>
        <w:t xml:space="preserve">already </w:t>
      </w:r>
      <w:r w:rsidRPr="005104B6">
        <w:rPr>
          <w:lang w:val="en-CA"/>
        </w:rPr>
        <w:t xml:space="preserve">specifically designed with that tool in mind. This study therefore sought to fill that gap by asking: </w:t>
      </w:r>
    </w:p>
    <w:p w14:paraId="08B65F36" w14:textId="77777777" w:rsidR="00C16B73" w:rsidRPr="005104B6" w:rsidRDefault="00C16B73" w:rsidP="001D7EAE">
      <w:pPr>
        <w:rPr>
          <w:lang w:val="en-CA"/>
        </w:rPr>
      </w:pPr>
    </w:p>
    <w:p w14:paraId="3935040F" w14:textId="77777777" w:rsidR="001D7EAE" w:rsidRPr="005104B6" w:rsidRDefault="001D7EAE" w:rsidP="001D7EAE">
      <w:pPr>
        <w:rPr>
          <w:lang w:val="en-CA"/>
        </w:rPr>
      </w:pPr>
      <w:r w:rsidRPr="005104B6">
        <w:rPr>
          <w:lang w:val="en-CA"/>
        </w:rPr>
        <w:t xml:space="preserve">1. </w:t>
      </w:r>
      <w:r w:rsidRPr="001A0B15">
        <w:rPr>
          <w:lang w:val="en-CA"/>
        </w:rPr>
        <w:t xml:space="preserve">Would undergraduate students consider the Library Research Skills Tutorial useful </w:t>
      </w:r>
      <w:r>
        <w:rPr>
          <w:lang w:val="en-CA"/>
        </w:rPr>
        <w:t>if</w:t>
      </w:r>
      <w:r w:rsidRPr="001A0B15">
        <w:rPr>
          <w:lang w:val="en-CA"/>
        </w:rPr>
        <w:t xml:space="preserve"> recommended to them as a</w:t>
      </w:r>
      <w:r>
        <w:rPr>
          <w:lang w:val="en-CA"/>
        </w:rPr>
        <w:t xml:space="preserve"> self-directed </w:t>
      </w:r>
      <w:r w:rsidRPr="001A0B15">
        <w:rPr>
          <w:lang w:val="en-CA"/>
        </w:rPr>
        <w:t xml:space="preserve">learning tool </w:t>
      </w:r>
      <w:r>
        <w:rPr>
          <w:lang w:val="en-CA"/>
        </w:rPr>
        <w:t xml:space="preserve">when completing </w:t>
      </w:r>
      <w:r w:rsidRPr="001A0B15">
        <w:rPr>
          <w:lang w:val="en-CA"/>
        </w:rPr>
        <w:t>a research assignment</w:t>
      </w:r>
      <w:r w:rsidRPr="005104B6">
        <w:rPr>
          <w:lang w:val="en-CA"/>
        </w:rPr>
        <w:t>? </w:t>
      </w:r>
    </w:p>
    <w:p w14:paraId="41E99262" w14:textId="77777777" w:rsidR="001D7EAE" w:rsidRPr="005104B6" w:rsidRDefault="001D7EAE" w:rsidP="001D7EAE">
      <w:pPr>
        <w:rPr>
          <w:lang w:val="en-CA"/>
        </w:rPr>
      </w:pPr>
    </w:p>
    <w:p w14:paraId="38A198C3" w14:textId="594DB89C" w:rsidR="001D7EAE" w:rsidRPr="001546A8" w:rsidRDefault="001D7EAE" w:rsidP="001546A8">
      <w:pPr>
        <w:pStyle w:val="Heading3-JIL"/>
      </w:pPr>
      <w:r w:rsidRPr="001546A8">
        <w:t xml:space="preserve">2.2 User </w:t>
      </w:r>
      <w:r w:rsidR="00C16B73" w:rsidRPr="00C16B73">
        <w:t>experience and the love/breakup letter method</w:t>
      </w:r>
    </w:p>
    <w:p w14:paraId="2A6E3E8B" w14:textId="2F69C0A1" w:rsidR="001D7EAE" w:rsidRPr="00396602" w:rsidRDefault="001D7EAE" w:rsidP="001D7EAE">
      <w:pPr>
        <w:rPr>
          <w:lang w:val="en-CA"/>
        </w:rPr>
      </w:pPr>
      <w:r w:rsidRPr="00396602">
        <w:rPr>
          <w:lang w:val="en-CA"/>
        </w:rPr>
        <w:t xml:space="preserve">Unlike more traditional attitudinal research tools such as surveys, focus groups and interviews, love/breakup letters offer students a narrative-based approach to creatively describe their visceral reactions or strong emotions towards tools and technologies (Gerber, 2012; Walker et al., 2018). They are part of the user experience (UX) research and design toolbox, which employs a variety of behavioural and attitudinal techniques based on ethnographic approaches (Stiles, 2017). UX aims to holistically examine users’ perceptions about the effectiveness of a tool or service, their affective responses to it, and the quality of their relationship with it (Kuniavsky as cited in Walton, 2015). In love/breakup letter exercises, participants are typically asked to </w:t>
      </w:r>
      <w:r w:rsidR="00292183">
        <w:rPr>
          <w:lang w:val="en-CA"/>
        </w:rPr>
        <w:t>‘</w:t>
      </w:r>
      <w:r w:rsidRPr="00396602">
        <w:rPr>
          <w:lang w:val="en-CA"/>
        </w:rPr>
        <w:t>personify a product and write a personal message to it,</w:t>
      </w:r>
      <w:r w:rsidR="00292183">
        <w:rPr>
          <w:lang w:val="en-CA"/>
        </w:rPr>
        <w:t>’</w:t>
      </w:r>
      <w:r w:rsidRPr="00396602">
        <w:rPr>
          <w:lang w:val="en-CA"/>
        </w:rPr>
        <w:t xml:space="preserve"> with results often described as </w:t>
      </w:r>
      <w:r w:rsidR="00292183">
        <w:rPr>
          <w:lang w:val="en-CA"/>
        </w:rPr>
        <w:t>‘</w:t>
      </w:r>
      <w:r w:rsidRPr="00396602">
        <w:rPr>
          <w:lang w:val="en-CA"/>
        </w:rPr>
        <w:t>unexpectedly deep and revealing</w:t>
      </w:r>
      <w:r w:rsidR="00292183">
        <w:rPr>
          <w:lang w:val="en-CA"/>
        </w:rPr>
        <w:t>’</w:t>
      </w:r>
      <w:r w:rsidRPr="00396602">
        <w:rPr>
          <w:lang w:val="en-CA"/>
        </w:rPr>
        <w:t xml:space="preserve"> (Martin &amp; Hanington, 2012, p. 114).</w:t>
      </w:r>
    </w:p>
    <w:p w14:paraId="4F0CA877" w14:textId="77777777" w:rsidR="00DB737D" w:rsidRDefault="00DB737D" w:rsidP="001D7EAE">
      <w:pPr>
        <w:rPr>
          <w:lang w:val="en-CA"/>
        </w:rPr>
      </w:pPr>
    </w:p>
    <w:p w14:paraId="62621BD5" w14:textId="5F90BF6D" w:rsidR="001D7EAE" w:rsidRPr="00396602" w:rsidRDefault="001D7EAE" w:rsidP="001D7EAE">
      <w:pPr>
        <w:rPr>
          <w:lang w:val="en-CA"/>
        </w:rPr>
      </w:pPr>
      <w:r w:rsidRPr="00396602">
        <w:rPr>
          <w:lang w:val="en-CA"/>
        </w:rPr>
        <w:t>Originally conceived by the Smart Design consultancy firm in 2009 (Martin &amp; Hanington, 2012) love/breakup letter instruments have since been employed and analyzed in educational technology, human-computer interaction and product-design research studies (Gerber, 2012; Vasques et al., 2017; Walker et al., 2018). Libraries have also started to use this methodology in order to gauge reactions to new product</w:t>
      </w:r>
      <w:r>
        <w:rPr>
          <w:lang w:val="en-CA"/>
        </w:rPr>
        <w:t>s</w:t>
      </w:r>
      <w:r w:rsidRPr="00396602">
        <w:rPr>
          <w:lang w:val="en-CA"/>
        </w:rPr>
        <w:t xml:space="preserve"> such as discovery tools (Parker, 2017), and to solicit feedback about specific digital services (Gregory, 2018) as well as overall library services (Brook et al., 2019; Green, 2017; Irving, 2020; Stiles, 2017; Texas Tech University, 2018). However, at the time of writing, no library-based research study employing this methodology had been published in an academic journal, nor had any love/break up letters been analyzed using a basic</w:t>
      </w:r>
      <w:r>
        <w:rPr>
          <w:lang w:val="en-CA"/>
        </w:rPr>
        <w:t xml:space="preserve"> </w:t>
      </w:r>
      <w:r w:rsidRPr="00396602">
        <w:rPr>
          <w:lang w:val="en-CA"/>
        </w:rPr>
        <w:t>qualitative research approach.</w:t>
      </w:r>
    </w:p>
    <w:p w14:paraId="68D2A334" w14:textId="77777777" w:rsidR="001D7EAE" w:rsidRPr="00396602" w:rsidRDefault="001D7EAE" w:rsidP="001D7EAE">
      <w:pPr>
        <w:rPr>
          <w:lang w:val="en-CA"/>
        </w:rPr>
      </w:pPr>
      <w:r w:rsidRPr="00396602">
        <w:rPr>
          <w:lang w:val="en-CA"/>
        </w:rPr>
        <w:lastRenderedPageBreak/>
        <w:t xml:space="preserve">This study therefore sought to </w:t>
      </w:r>
      <w:r>
        <w:rPr>
          <w:lang w:val="en-CA"/>
        </w:rPr>
        <w:t>answer</w:t>
      </w:r>
      <w:r w:rsidRPr="00396602">
        <w:rPr>
          <w:lang w:val="en-CA"/>
        </w:rPr>
        <w:t>:</w:t>
      </w:r>
    </w:p>
    <w:p w14:paraId="73CBE026" w14:textId="77777777" w:rsidR="001D7EAE" w:rsidRDefault="001D7EAE" w:rsidP="001D7EAE">
      <w:pPr>
        <w:rPr>
          <w:lang w:val="en-CA"/>
        </w:rPr>
      </w:pPr>
      <w:r w:rsidRPr="00396602">
        <w:rPr>
          <w:lang w:val="en-CA"/>
        </w:rPr>
        <w:t xml:space="preserve">2. Will the love/breakup letter method work </w:t>
      </w:r>
      <w:r>
        <w:rPr>
          <w:lang w:val="en-CA"/>
        </w:rPr>
        <w:t xml:space="preserve">as part of a qualitative study </w:t>
      </w:r>
      <w:r w:rsidRPr="00396602">
        <w:rPr>
          <w:lang w:val="en-CA"/>
        </w:rPr>
        <w:t>in a library setting? Will students know how to participate, and will it provide helpful feedback</w:t>
      </w:r>
      <w:r>
        <w:rPr>
          <w:lang w:val="en-CA"/>
        </w:rPr>
        <w:t xml:space="preserve"> for analysis</w:t>
      </w:r>
      <w:r w:rsidRPr="00396602">
        <w:rPr>
          <w:lang w:val="en-CA"/>
        </w:rPr>
        <w:t>?</w:t>
      </w:r>
    </w:p>
    <w:p w14:paraId="6F62FEF9" w14:textId="77777777" w:rsidR="001D7EAE" w:rsidRPr="005104B6" w:rsidRDefault="001D7EAE" w:rsidP="001D7EAE">
      <w:pPr>
        <w:rPr>
          <w:lang w:val="en-CA"/>
        </w:rPr>
      </w:pPr>
    </w:p>
    <w:p w14:paraId="43DC8952" w14:textId="77777777" w:rsidR="001D7EAE" w:rsidRPr="001546A8" w:rsidRDefault="001D7EAE" w:rsidP="001546A8">
      <w:pPr>
        <w:keepNext/>
        <w:keepLines/>
        <w:pBdr>
          <w:top w:val="nil"/>
          <w:left w:val="nil"/>
          <w:bottom w:val="nil"/>
          <w:right w:val="nil"/>
          <w:between w:val="nil"/>
        </w:pBdr>
        <w:spacing w:after="200" w:line="240" w:lineRule="auto"/>
        <w:rPr>
          <w:b/>
          <w:color w:val="000000"/>
          <w:sz w:val="28"/>
          <w:szCs w:val="28"/>
        </w:rPr>
      </w:pPr>
      <w:r w:rsidRPr="001546A8">
        <w:rPr>
          <w:b/>
          <w:color w:val="000000"/>
          <w:sz w:val="28"/>
          <w:szCs w:val="28"/>
        </w:rPr>
        <w:t xml:space="preserve">3. Method </w:t>
      </w:r>
    </w:p>
    <w:p w14:paraId="7E8CFA28" w14:textId="77777777" w:rsidR="001D7EAE" w:rsidRPr="001546A8" w:rsidRDefault="001D7EAE" w:rsidP="001546A8">
      <w:pPr>
        <w:pStyle w:val="Heading3-JIL"/>
      </w:pPr>
      <w:r w:rsidRPr="001546A8">
        <w:t>3.1 Research design</w:t>
      </w:r>
    </w:p>
    <w:p w14:paraId="0165DBE7" w14:textId="66D8E37C" w:rsidR="001D7EAE" w:rsidRPr="005104B6" w:rsidRDefault="001D7EAE" w:rsidP="001D7EAE">
      <w:pPr>
        <w:rPr>
          <w:lang w:val="en-CA"/>
        </w:rPr>
      </w:pPr>
      <w:r w:rsidRPr="005104B6">
        <w:rPr>
          <w:lang w:val="en-CA"/>
        </w:rPr>
        <w:t xml:space="preserve">To answer these questions, the researchers followed a basic qualitative research approach (Plano Clark &amp; Creswell, 2015), using thematic coding to analyze letters written to the Library Research Skills Tutorial by undergraduate students. A two-question survey preceding the letter also assessed participants’ self-reported </w:t>
      </w:r>
      <w:r w:rsidR="00D475C8">
        <w:rPr>
          <w:lang w:val="en-CA"/>
        </w:rPr>
        <w:t>IL</w:t>
      </w:r>
      <w:r w:rsidRPr="005104B6">
        <w:rPr>
          <w:lang w:val="en-CA"/>
        </w:rPr>
        <w:t xml:space="preserve"> exposure and skills.</w:t>
      </w:r>
    </w:p>
    <w:p w14:paraId="3BB1DAB3" w14:textId="77777777" w:rsidR="001D7EAE" w:rsidRPr="001546A8" w:rsidRDefault="001D7EAE" w:rsidP="001546A8">
      <w:pPr>
        <w:pStyle w:val="Heading3-JIL"/>
      </w:pPr>
    </w:p>
    <w:p w14:paraId="311FDE32" w14:textId="77777777" w:rsidR="001D7EAE" w:rsidRPr="001546A8" w:rsidRDefault="001D7EAE" w:rsidP="001546A8">
      <w:pPr>
        <w:pStyle w:val="Heading3-JIL"/>
      </w:pPr>
      <w:bookmarkStart w:id="1" w:name="_Hlk54343487"/>
      <w:r w:rsidRPr="001546A8">
        <w:t>3.2 Participants</w:t>
      </w:r>
    </w:p>
    <w:bookmarkEnd w:id="1"/>
    <w:p w14:paraId="2E9BE8F3" w14:textId="2799DA31" w:rsidR="001D7EAE" w:rsidRDefault="001D7EAE" w:rsidP="001D7EAE">
      <w:pPr>
        <w:rPr>
          <w:lang w:val="en-CA"/>
        </w:rPr>
      </w:pPr>
      <w:r w:rsidRPr="005104B6">
        <w:rPr>
          <w:lang w:val="en-CA"/>
        </w:rPr>
        <w:t xml:space="preserve">Ethical approval for this study was obtained from the </w:t>
      </w:r>
      <w:r>
        <w:rPr>
          <w:lang w:val="en-CA"/>
        </w:rPr>
        <w:t>Concordia</w:t>
      </w:r>
      <w:r w:rsidRPr="005104B6">
        <w:rPr>
          <w:lang w:val="en-CA"/>
        </w:rPr>
        <w:t xml:space="preserve"> University Human Research Ethics Committee (Certificate No. 30009916).</w:t>
      </w:r>
    </w:p>
    <w:p w14:paraId="5454540E" w14:textId="77777777" w:rsidR="00BB57BE" w:rsidRPr="005104B6" w:rsidRDefault="00BB57BE" w:rsidP="001D7EAE">
      <w:pPr>
        <w:rPr>
          <w:lang w:val="en-CA"/>
        </w:rPr>
      </w:pPr>
    </w:p>
    <w:p w14:paraId="2E448261" w14:textId="77777777" w:rsidR="001D7EAE" w:rsidRPr="005104B6" w:rsidRDefault="001D7EAE" w:rsidP="001D7EAE">
      <w:pPr>
        <w:rPr>
          <w:lang w:val="en-CA"/>
        </w:rPr>
      </w:pPr>
      <w:r w:rsidRPr="005104B6">
        <w:rPr>
          <w:lang w:val="en-CA"/>
        </w:rPr>
        <w:t>Using non-probability purposive sampling (Plano Clark &amp; Creswell, 2015) such as referrals from other liaison librarians, personal experience with faculty members and perusal of the 2018-2019 University class schedules, approximately 15 potential courses were identified for the study. Only courses incorporating at least one assignment with a library research component were considered. Four professors agreed to participate and include their classes in the study, representing social science courses at the 200 (2), 300 (1), and 400 (1) levels. Student participation in the study was optional and written informed consent was obtained from all participants prior to the letter writing exercise. Fifty-two (52) students took part, with varying participation rates in each class: 2 / 75 (200-level), 21 / 50 (200-level), 21 / 41 (300-level), 8 / 9 (400-level).</w:t>
      </w:r>
    </w:p>
    <w:p w14:paraId="154A7D63" w14:textId="77777777" w:rsidR="001D7EAE" w:rsidRPr="005104B6" w:rsidRDefault="001D7EAE" w:rsidP="001D7EAE">
      <w:pPr>
        <w:rPr>
          <w:lang w:val="en-CA"/>
        </w:rPr>
      </w:pPr>
    </w:p>
    <w:p w14:paraId="65B8F0A4" w14:textId="77777777" w:rsidR="001D7EAE" w:rsidRPr="001546A8" w:rsidRDefault="001D7EAE" w:rsidP="001546A8">
      <w:pPr>
        <w:pStyle w:val="Heading3-JIL"/>
      </w:pPr>
      <w:bookmarkStart w:id="2" w:name="_Hlk54343522"/>
      <w:bookmarkStart w:id="3" w:name="_Hlk54343554"/>
      <w:r w:rsidRPr="001546A8">
        <w:t>3.3 Data collection</w:t>
      </w:r>
      <w:bookmarkEnd w:id="2"/>
    </w:p>
    <w:bookmarkEnd w:id="3"/>
    <w:p w14:paraId="02F4ADD5" w14:textId="5A7BBF2B" w:rsidR="001D7EAE" w:rsidRDefault="001D7EAE" w:rsidP="001D7EAE">
      <w:pPr>
        <w:rPr>
          <w:color w:val="000000"/>
          <w:lang w:val="en-CA"/>
        </w:rPr>
      </w:pPr>
      <w:r w:rsidRPr="005104B6">
        <w:rPr>
          <w:color w:val="000000"/>
          <w:lang w:val="en-CA"/>
        </w:rPr>
        <w:t xml:space="preserve">The researchers worked with the participating professors to incorporate a paragraph about the tutorial and the evaluation exercise into their assignment descriptions. The paragraph specified that consultation of the tutorial was required for the research assignment but that the evaluation, which would take place on the day of assignment submission during class time, was optional. A few weeks before the assignments were due, the researchers asked the professors to remind students about both the tutorial and the evaluation. In order to encourage spontaneity during the activity, the letter-writing method was not revealed ahead of time. </w:t>
      </w:r>
    </w:p>
    <w:p w14:paraId="5861C563" w14:textId="77777777" w:rsidR="00473CEC" w:rsidRPr="005104B6" w:rsidRDefault="00473CEC" w:rsidP="001D7EAE">
      <w:pPr>
        <w:rPr>
          <w:lang w:val="en-CA"/>
        </w:rPr>
      </w:pPr>
    </w:p>
    <w:p w14:paraId="7FBD6738" w14:textId="530CB745" w:rsidR="001D7EAE" w:rsidRDefault="001D7EAE" w:rsidP="001D7EAE">
      <w:pPr>
        <w:rPr>
          <w:color w:val="000000"/>
          <w:lang w:val="en-CA"/>
        </w:rPr>
      </w:pPr>
      <w:r w:rsidRPr="005104B6">
        <w:rPr>
          <w:color w:val="000000"/>
          <w:lang w:val="en-CA"/>
        </w:rPr>
        <w:t xml:space="preserve">On the day of the visit to the class, the researchers read a prepared script, asking students to imagine the tutorial as a person and to address a love, breakup, or indifferent letter to it. In case students were apprehensive about the activity or lacked inspiration, the researchers provided further illustration, letting students know that they could for instance tell the tutorial what aspects of it they would never want to change (love), what about the relationship didn’t work or was annoying (breakup), or why they chose to not even go on a first date (indifferent). The students were told that they would be given a maximum of 20 minutes to write the letter. According to Martin and Hanington, </w:t>
      </w:r>
      <w:r w:rsidR="00292183">
        <w:rPr>
          <w:color w:val="000000"/>
          <w:lang w:val="en-CA"/>
        </w:rPr>
        <w:t>‘</w:t>
      </w:r>
      <w:r w:rsidRPr="005104B6">
        <w:rPr>
          <w:color w:val="000000"/>
          <w:lang w:val="en-CA"/>
        </w:rPr>
        <w:t>longer time frames [would] make participants overthink its contents</w:t>
      </w:r>
      <w:r w:rsidR="00292183">
        <w:rPr>
          <w:color w:val="000000"/>
          <w:lang w:val="en-CA"/>
        </w:rPr>
        <w:t>’</w:t>
      </w:r>
      <w:r w:rsidRPr="005104B6">
        <w:rPr>
          <w:color w:val="000000"/>
          <w:lang w:val="en-CA"/>
        </w:rPr>
        <w:t xml:space="preserve"> (2012, p. 114). The instrument included a two-question survey, instructions on how to complete the activity, and lined sheets to write the letter. The procedure for the first class visited, however, was slightly different and proved much less successful. In this 200-level class, the research assignment was optional and could be substituted by an in-class test. As a majority </w:t>
      </w:r>
      <w:r w:rsidRPr="005104B6">
        <w:rPr>
          <w:color w:val="000000"/>
          <w:lang w:val="en-CA"/>
        </w:rPr>
        <w:lastRenderedPageBreak/>
        <w:t>had chosen the test over the research assignment, the letter-writing activity did not take place in the class and students were instead invited to contact the researchers to volunteer for the study. Only two of the 75 students chose to participate, and the activity took place in a library conference room, with the researchers following the same script as described above.</w:t>
      </w:r>
    </w:p>
    <w:p w14:paraId="202DBAF2" w14:textId="77777777" w:rsidR="001D7EAE" w:rsidRPr="005104B6" w:rsidRDefault="001D7EAE" w:rsidP="001D7EAE">
      <w:pPr>
        <w:rPr>
          <w:lang w:val="en-CA"/>
        </w:rPr>
      </w:pPr>
    </w:p>
    <w:p w14:paraId="15699A2D" w14:textId="77777777" w:rsidR="001D7EAE" w:rsidRPr="001546A8" w:rsidRDefault="001D7EAE" w:rsidP="001546A8">
      <w:pPr>
        <w:pStyle w:val="Heading3-JIL"/>
      </w:pPr>
      <w:r w:rsidRPr="001546A8">
        <w:t>3.4 Data availability statement</w:t>
      </w:r>
    </w:p>
    <w:p w14:paraId="0F4C7609" w14:textId="77777777" w:rsidR="001D7EAE" w:rsidRPr="005104B6" w:rsidRDefault="001D7EAE" w:rsidP="001D7EAE">
      <w:pPr>
        <w:rPr>
          <w:lang w:val="en-CA"/>
        </w:rPr>
      </w:pPr>
      <w:r w:rsidRPr="005104B6">
        <w:rPr>
          <w:lang w:val="en-CA"/>
        </w:rPr>
        <w:t xml:space="preserve">The dataset generated and analysed during the current study is available in the </w:t>
      </w:r>
      <w:r>
        <w:rPr>
          <w:lang w:val="en-CA"/>
        </w:rPr>
        <w:t>Concordia University Dataverse at</w:t>
      </w:r>
      <w:r w:rsidRPr="005104B6">
        <w:rPr>
          <w:lang w:val="en-CA"/>
        </w:rPr>
        <w:t xml:space="preserve"> </w:t>
      </w:r>
      <w:hyperlink r:id="rId13" w:history="1">
        <w:r w:rsidRPr="00C91D1D">
          <w:rPr>
            <w:rStyle w:val="Hyperlink"/>
            <w:lang w:val="en-CA"/>
          </w:rPr>
          <w:t>https://doi.org/10.5683/SP2/QOAVHE</w:t>
        </w:r>
      </w:hyperlink>
      <w:r>
        <w:rPr>
          <w:lang w:val="en-CA"/>
        </w:rPr>
        <w:t xml:space="preserve"> (Dennie &amp; Breier, 2018). </w:t>
      </w:r>
    </w:p>
    <w:p w14:paraId="0358E7E7" w14:textId="77777777" w:rsidR="001D7EAE" w:rsidRPr="005104B6" w:rsidRDefault="001D7EAE" w:rsidP="001D7EAE">
      <w:pPr>
        <w:rPr>
          <w:lang w:val="en-CA"/>
        </w:rPr>
      </w:pPr>
    </w:p>
    <w:p w14:paraId="04C537FA" w14:textId="77777777" w:rsidR="001D7EAE" w:rsidRPr="001546A8" w:rsidRDefault="001D7EAE" w:rsidP="001546A8">
      <w:pPr>
        <w:pStyle w:val="Heading3-JIL"/>
      </w:pPr>
      <w:r w:rsidRPr="001546A8">
        <w:t>3.5 Data analysis</w:t>
      </w:r>
    </w:p>
    <w:p w14:paraId="1D0127FF" w14:textId="39DE4EF7" w:rsidR="001D7EAE" w:rsidRDefault="001D7EAE" w:rsidP="001D7EAE">
      <w:pPr>
        <w:rPr>
          <w:lang w:val="en-CA"/>
        </w:rPr>
      </w:pPr>
      <w:r w:rsidRPr="005104B6">
        <w:rPr>
          <w:lang w:val="en-CA"/>
        </w:rPr>
        <w:t>The letters were first divided into overall letter types, such as love or breakup letter, based on the responses provided by the students. Then, the letters were transcribed in Dedoose, a web-based qualitative data analysis software (</w:t>
      </w:r>
      <w:hyperlink r:id="rId14" w:history="1">
        <w:r w:rsidRPr="005104B6">
          <w:rPr>
            <w:color w:val="1155CC"/>
            <w:u w:val="single"/>
            <w:lang w:val="en-CA"/>
          </w:rPr>
          <w:t>https://www.dedoose.com/</w:t>
        </w:r>
      </w:hyperlink>
      <w:r w:rsidRPr="005104B6">
        <w:rPr>
          <w:lang w:val="en-CA"/>
        </w:rPr>
        <w:t>). The researchers performed independent parallel coding to analyze the text of the letters using a general inductive approach (Thomas, 2006). They compared, edited, and merged their codes into a single final set of codes and themes. The library’s Teaching and Learning Librarian also reviewed the transcribed letters and emergent themes as a peer debriefing process (Janesick, 2015).</w:t>
      </w:r>
    </w:p>
    <w:p w14:paraId="20883811" w14:textId="77777777" w:rsidR="00473CEC" w:rsidRPr="005104B6" w:rsidRDefault="00473CEC" w:rsidP="001D7EAE">
      <w:pPr>
        <w:rPr>
          <w:lang w:val="en-CA"/>
        </w:rPr>
      </w:pPr>
    </w:p>
    <w:p w14:paraId="506821A0" w14:textId="257DA9CA" w:rsidR="001D7EAE" w:rsidRPr="005104B6" w:rsidRDefault="001D7EAE" w:rsidP="001D7EAE">
      <w:pPr>
        <w:rPr>
          <w:lang w:val="en-CA"/>
        </w:rPr>
      </w:pPr>
      <w:r w:rsidRPr="005104B6">
        <w:rPr>
          <w:lang w:val="en-CA"/>
        </w:rPr>
        <w:t xml:space="preserve">Eight letters were excluded from the analysis. Seven of these were addressed to either the Library, a subject guide, or a database instead of referring to the tutorial, and one consisted of lyrics from a 1980s pop song. Of note, five of the eight excluded letters originated from the 400-level class. The content of these letters revealed that most of the students in this class were not aware of the tutorial prior to the evaluation exercise. One student wrote, </w:t>
      </w:r>
      <w:r w:rsidR="00292183">
        <w:rPr>
          <w:lang w:val="en-CA"/>
        </w:rPr>
        <w:t>‘</w:t>
      </w:r>
      <w:r w:rsidRPr="005104B6">
        <w:rPr>
          <w:i/>
          <w:lang w:val="en-CA"/>
        </w:rPr>
        <w:t>I did not really know about you. Perhaps, if one of my professors had been more explicit about finding you &amp; using you as a tool, I would have</w:t>
      </w:r>
      <w:r w:rsidRPr="005104B6">
        <w:rPr>
          <w:lang w:val="en-CA"/>
        </w:rPr>
        <w:t>.</w:t>
      </w:r>
      <w:r w:rsidR="00292183">
        <w:rPr>
          <w:lang w:val="en-CA"/>
        </w:rPr>
        <w:t>’</w:t>
      </w:r>
      <w:r w:rsidRPr="005104B6">
        <w:rPr>
          <w:lang w:val="en-CA"/>
        </w:rPr>
        <w:t xml:space="preserve"> (Student #48). Unlike in the other courses, it appears that the professor neglected to discuss the tutorial and research project in this class despite the researchers’ requests, leaving students to learn about it in their research assignment description. </w:t>
      </w:r>
    </w:p>
    <w:p w14:paraId="45DED59C" w14:textId="77777777" w:rsidR="001D7EAE" w:rsidRPr="005104B6" w:rsidRDefault="001D7EAE" w:rsidP="001D7EAE">
      <w:pPr>
        <w:rPr>
          <w:lang w:val="en-CA"/>
        </w:rPr>
      </w:pPr>
    </w:p>
    <w:p w14:paraId="10B59D63" w14:textId="77777777" w:rsidR="001D7EAE" w:rsidRPr="001546A8" w:rsidRDefault="001D7EAE" w:rsidP="001546A8">
      <w:pPr>
        <w:keepNext/>
        <w:keepLines/>
        <w:pBdr>
          <w:top w:val="nil"/>
          <w:left w:val="nil"/>
          <w:bottom w:val="nil"/>
          <w:right w:val="nil"/>
          <w:between w:val="nil"/>
        </w:pBdr>
        <w:spacing w:after="200" w:line="240" w:lineRule="auto"/>
        <w:rPr>
          <w:b/>
          <w:color w:val="000000"/>
          <w:sz w:val="28"/>
          <w:szCs w:val="28"/>
        </w:rPr>
      </w:pPr>
      <w:r w:rsidRPr="001546A8">
        <w:rPr>
          <w:b/>
          <w:color w:val="000000"/>
          <w:sz w:val="28"/>
          <w:szCs w:val="28"/>
        </w:rPr>
        <w:t xml:space="preserve">4. Findings </w:t>
      </w:r>
    </w:p>
    <w:p w14:paraId="22639F08" w14:textId="77777777" w:rsidR="001D7EAE" w:rsidRPr="001546A8" w:rsidRDefault="001D7EAE" w:rsidP="001546A8">
      <w:pPr>
        <w:pStyle w:val="Heading3-JIL"/>
      </w:pPr>
      <w:r w:rsidRPr="001546A8">
        <w:t>4.1 Letter types</w:t>
      </w:r>
    </w:p>
    <w:p w14:paraId="62D8B4FE" w14:textId="3D359539" w:rsidR="001D7EAE" w:rsidRPr="005104B6" w:rsidRDefault="001D7EAE" w:rsidP="001D7EAE">
      <w:pPr>
        <w:rPr>
          <w:lang w:val="en-CA"/>
        </w:rPr>
      </w:pPr>
      <w:r w:rsidRPr="005104B6">
        <w:rPr>
          <w:lang w:val="en-CA"/>
        </w:rPr>
        <w:t xml:space="preserve">Though the initial intention was to divide the responses into love, breakup or indifferent letters, during analysis small variations on these types emerged. Letters expressing feelings of frustration or lack of interest, such as </w:t>
      </w:r>
      <w:r w:rsidR="00292183">
        <w:rPr>
          <w:lang w:val="en-CA"/>
        </w:rPr>
        <w:t>‘</w:t>
      </w:r>
      <w:r w:rsidRPr="005104B6">
        <w:rPr>
          <w:i/>
          <w:lang w:val="en-CA"/>
        </w:rPr>
        <w:t>I just don't understand you, you're just too complicated</w:t>
      </w:r>
      <w:r w:rsidR="00292183">
        <w:rPr>
          <w:i/>
          <w:lang w:val="en-CA"/>
        </w:rPr>
        <w:t>’</w:t>
      </w:r>
      <w:r w:rsidRPr="005104B6">
        <w:rPr>
          <w:i/>
          <w:lang w:val="en-CA"/>
        </w:rPr>
        <w:t xml:space="preserve"> (Student #10) and </w:t>
      </w:r>
      <w:r w:rsidR="00292183">
        <w:rPr>
          <w:i/>
          <w:lang w:val="en-CA"/>
        </w:rPr>
        <w:t>‘</w:t>
      </w:r>
      <w:r w:rsidRPr="005104B6">
        <w:rPr>
          <w:i/>
          <w:lang w:val="en-CA"/>
        </w:rPr>
        <w:t>I am bored when I am with you</w:t>
      </w:r>
      <w:r w:rsidR="00292183">
        <w:rPr>
          <w:lang w:val="en-CA"/>
        </w:rPr>
        <w:t>’</w:t>
      </w:r>
      <w:r w:rsidRPr="005104B6">
        <w:rPr>
          <w:lang w:val="en-CA"/>
        </w:rPr>
        <w:t xml:space="preserve"> (Student #15) were categorized as breakup letters. Letters including terms of affection or appreciation such as </w:t>
      </w:r>
      <w:r w:rsidR="00292183">
        <w:rPr>
          <w:lang w:val="en-CA"/>
        </w:rPr>
        <w:t>‘</w:t>
      </w:r>
      <w:r w:rsidRPr="005104B6">
        <w:rPr>
          <w:i/>
          <w:lang w:val="en-CA"/>
        </w:rPr>
        <w:t>you are the best tool</w:t>
      </w:r>
      <w:r w:rsidR="00292183">
        <w:rPr>
          <w:i/>
          <w:iCs/>
          <w:lang w:val="en-CA"/>
        </w:rPr>
        <w:t>’</w:t>
      </w:r>
      <w:r w:rsidRPr="001546A8">
        <w:rPr>
          <w:i/>
          <w:iCs/>
          <w:lang w:val="en-CA"/>
        </w:rPr>
        <w:t xml:space="preserve"> </w:t>
      </w:r>
      <w:r w:rsidRPr="005104B6">
        <w:rPr>
          <w:lang w:val="en-CA"/>
        </w:rPr>
        <w:t xml:space="preserve">(Student #1) and </w:t>
      </w:r>
      <w:r w:rsidR="00292183">
        <w:rPr>
          <w:lang w:val="en-CA"/>
        </w:rPr>
        <w:t>‘</w:t>
      </w:r>
      <w:r w:rsidRPr="00875682">
        <w:rPr>
          <w:i/>
          <w:lang w:val="en-CA"/>
        </w:rPr>
        <w:t>once I got to understand you, there was nothing like it</w:t>
      </w:r>
      <w:r w:rsidR="00292183">
        <w:rPr>
          <w:i/>
          <w:iCs/>
          <w:lang w:val="en-CA"/>
        </w:rPr>
        <w:t>’</w:t>
      </w:r>
      <w:r w:rsidRPr="001546A8">
        <w:rPr>
          <w:i/>
          <w:iCs/>
          <w:lang w:val="en-CA"/>
        </w:rPr>
        <w:t xml:space="preserve"> </w:t>
      </w:r>
      <w:r w:rsidRPr="005104B6">
        <w:rPr>
          <w:lang w:val="en-CA"/>
        </w:rPr>
        <w:t xml:space="preserve">(Student #2) were labeled as love letters. Letters expressing lack of interest, with passages such as </w:t>
      </w:r>
      <w:r w:rsidR="00292183">
        <w:rPr>
          <w:lang w:val="en-CA"/>
        </w:rPr>
        <w:t>‘</w:t>
      </w:r>
      <w:r w:rsidRPr="005104B6">
        <w:rPr>
          <w:i/>
          <w:lang w:val="en-CA"/>
        </w:rPr>
        <w:t>Sorry for bailing on our first date. I just already knew how to conduct library research</w:t>
      </w:r>
      <w:r w:rsidRPr="005104B6">
        <w:rPr>
          <w:lang w:val="en-CA"/>
        </w:rPr>
        <w:t>,</w:t>
      </w:r>
      <w:r w:rsidR="00292183">
        <w:rPr>
          <w:lang w:val="en-CA"/>
        </w:rPr>
        <w:t>’</w:t>
      </w:r>
      <w:r w:rsidRPr="005104B6">
        <w:rPr>
          <w:lang w:val="en-CA"/>
        </w:rPr>
        <w:t xml:space="preserve"> (Student #20), were renamed from </w:t>
      </w:r>
      <w:r w:rsidR="00292183">
        <w:rPr>
          <w:lang w:val="en-CA"/>
        </w:rPr>
        <w:t>‘</w:t>
      </w:r>
      <w:r w:rsidRPr="005104B6">
        <w:rPr>
          <w:lang w:val="en-CA"/>
        </w:rPr>
        <w:t>indifferent</w:t>
      </w:r>
      <w:r w:rsidR="00292183">
        <w:rPr>
          <w:lang w:val="en-CA"/>
        </w:rPr>
        <w:t>’</w:t>
      </w:r>
      <w:r w:rsidRPr="005104B6">
        <w:rPr>
          <w:lang w:val="en-CA"/>
        </w:rPr>
        <w:t xml:space="preserve"> to </w:t>
      </w:r>
      <w:r w:rsidR="00292183">
        <w:rPr>
          <w:lang w:val="en-CA"/>
        </w:rPr>
        <w:t>‘</w:t>
      </w:r>
      <w:r w:rsidRPr="005104B6">
        <w:rPr>
          <w:lang w:val="en-CA"/>
        </w:rPr>
        <w:t>never used</w:t>
      </w:r>
      <w:r w:rsidR="00292183">
        <w:rPr>
          <w:lang w:val="en-CA"/>
        </w:rPr>
        <w:t>’</w:t>
      </w:r>
      <w:r w:rsidRPr="005104B6">
        <w:rPr>
          <w:lang w:val="en-CA"/>
        </w:rPr>
        <w:t xml:space="preserve"> as this term more accurately described the conscious bypassing of the tutorial despite assignment instructions to consult it. Finally, four letters told stories that did not clearly fit into any of the three predefined types. Two letters included statements of both appreciation and dislike for the tutorial, with no clear indication of whether the writers were in love or wanted to break up; these were categorized as ambivalent. Two intriguing letters began by gratefully acknowledging the help the tutorial provided, but ended by intimating that they no longer needed the tool, with passages such as </w:t>
      </w:r>
      <w:r w:rsidR="00292183">
        <w:rPr>
          <w:lang w:val="en-CA"/>
        </w:rPr>
        <w:t>‘</w:t>
      </w:r>
      <w:r w:rsidRPr="005104B6">
        <w:rPr>
          <w:i/>
          <w:lang w:val="en-CA"/>
        </w:rPr>
        <w:t xml:space="preserve">I've grown </w:t>
      </w:r>
      <w:r w:rsidRPr="005104B6">
        <w:rPr>
          <w:i/>
          <w:lang w:val="en-CA"/>
        </w:rPr>
        <w:lastRenderedPageBreak/>
        <w:t>since then and want to fly on my own now</w:t>
      </w:r>
      <w:r w:rsidR="00292183">
        <w:rPr>
          <w:i/>
          <w:iCs/>
          <w:lang w:val="en-CA"/>
        </w:rPr>
        <w:t>’</w:t>
      </w:r>
      <w:r w:rsidRPr="001546A8">
        <w:rPr>
          <w:i/>
          <w:iCs/>
          <w:lang w:val="en-CA"/>
        </w:rPr>
        <w:t xml:space="preserve"> </w:t>
      </w:r>
      <w:r w:rsidRPr="005104B6">
        <w:rPr>
          <w:lang w:val="en-CA"/>
        </w:rPr>
        <w:t>(Student #29). In keeping with the dating theme, the researchers labeled these letters as one-night stands, an unexpected variant on the breakup. </w:t>
      </w:r>
    </w:p>
    <w:p w14:paraId="2EA4723B" w14:textId="77777777" w:rsidR="001D7EAE" w:rsidRPr="005104B6" w:rsidRDefault="001D7EAE" w:rsidP="001D7EAE">
      <w:pPr>
        <w:rPr>
          <w:lang w:val="en-CA"/>
        </w:rPr>
      </w:pPr>
      <w:r w:rsidRPr="005104B6">
        <w:rPr>
          <w:lang w:val="en-CA"/>
        </w:rPr>
        <w:t>The majority of responses (52%) constituted breakup letters. Only 23% of students wrote love letters, followed closely by 16% never used letters (see Figure 1).</w:t>
      </w:r>
    </w:p>
    <w:p w14:paraId="75BF01DE" w14:textId="77777777" w:rsidR="001D7EAE" w:rsidRPr="005104B6" w:rsidRDefault="001D7EAE" w:rsidP="001D7EAE">
      <w:pPr>
        <w:rPr>
          <w:lang w:val="en-CA"/>
        </w:rPr>
      </w:pPr>
    </w:p>
    <w:p w14:paraId="0FFF6BFA" w14:textId="77777777" w:rsidR="001D7EAE" w:rsidRPr="005104B6" w:rsidRDefault="001D7EAE" w:rsidP="001D7EAE">
      <w:pPr>
        <w:rPr>
          <w:noProof/>
          <w:sz w:val="24"/>
          <w:lang w:val="en-CA"/>
        </w:rPr>
      </w:pPr>
      <w:r w:rsidRPr="005104B6">
        <w:rPr>
          <w:noProof/>
          <w:sz w:val="24"/>
          <w:lang w:val="en-CA"/>
        </w:rPr>
        <w:drawing>
          <wp:inline distT="0" distB="0" distL="0" distR="0" wp14:anchorId="69A83CBD" wp14:editId="0780215E">
            <wp:extent cx="4312285" cy="1761490"/>
            <wp:effectExtent l="0" t="0" r="0" b="0"/>
            <wp:docPr id="4" name="Picture 6" descr="Bar chart showing number of types of letters written by students, as follows: 23 breakup letters, 10 love letters, 7 never used letters, 2 one-night stand letters, and 2 ambivalent letter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6" descr="Bar chart showing number of types of letters written by students, as follows: 23 breakup letters, 10 love letters, 7 never used letters, 2 one-night stand letters, and 2 ambivalent letters."/>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12285" cy="1761490"/>
                    </a:xfrm>
                    <a:prstGeom prst="rect">
                      <a:avLst/>
                    </a:prstGeom>
                    <a:noFill/>
                    <a:ln>
                      <a:noFill/>
                    </a:ln>
                  </pic:spPr>
                </pic:pic>
              </a:graphicData>
            </a:graphic>
          </wp:inline>
        </w:drawing>
      </w:r>
    </w:p>
    <w:p w14:paraId="6E072B01" w14:textId="77777777" w:rsidR="00473CEC" w:rsidRPr="0081619A" w:rsidRDefault="00473CEC" w:rsidP="00473CEC">
      <w:pPr>
        <w:pStyle w:val="Heading3"/>
        <w:spacing w:before="0"/>
        <w:rPr>
          <w:rFonts w:ascii="Arial" w:eastAsia="Arial" w:hAnsi="Arial" w:cs="Arial"/>
          <w:color w:val="auto"/>
          <w:sz w:val="22"/>
          <w:szCs w:val="22"/>
          <w:lang w:val="en-CA"/>
        </w:rPr>
      </w:pPr>
      <w:r w:rsidRPr="0081619A">
        <w:rPr>
          <w:rFonts w:ascii="Arial" w:eastAsia="Arial" w:hAnsi="Arial" w:cs="Arial"/>
          <w:b/>
          <w:bCs/>
          <w:color w:val="auto"/>
          <w:sz w:val="22"/>
          <w:szCs w:val="22"/>
          <w:lang w:val="en-CA"/>
        </w:rPr>
        <w:t>Figure 1</w:t>
      </w:r>
      <w:r w:rsidRPr="0081619A">
        <w:rPr>
          <w:rFonts w:ascii="Arial" w:eastAsia="Arial" w:hAnsi="Arial" w:cs="Arial"/>
          <w:color w:val="auto"/>
          <w:sz w:val="22"/>
          <w:szCs w:val="22"/>
          <w:lang w:val="en-CA"/>
        </w:rPr>
        <w:t>: Letter types</w:t>
      </w:r>
    </w:p>
    <w:p w14:paraId="54DE1F19" w14:textId="77777777" w:rsidR="001D7EAE" w:rsidRPr="005104B6" w:rsidRDefault="001D7EAE" w:rsidP="001D7EAE">
      <w:pPr>
        <w:rPr>
          <w:lang w:val="en-CA"/>
        </w:rPr>
      </w:pPr>
    </w:p>
    <w:p w14:paraId="685BF4A5" w14:textId="77777777" w:rsidR="001D7EAE" w:rsidRPr="005104B6" w:rsidRDefault="001D7EAE" w:rsidP="001D7EAE">
      <w:pPr>
        <w:rPr>
          <w:lang w:val="en-CA"/>
        </w:rPr>
      </w:pPr>
      <w:r w:rsidRPr="005104B6">
        <w:rPr>
          <w:lang w:val="en-CA"/>
        </w:rPr>
        <w:t>It is of note that students in the introductory, 200-level classes exhibited the least appreciation for the tutorial (see Figure 2), with 87% of their letters falling into breakup and never used categories.</w:t>
      </w:r>
    </w:p>
    <w:p w14:paraId="2AC553BB" w14:textId="77777777" w:rsidR="001D7EAE" w:rsidRPr="005104B6" w:rsidRDefault="001D7EAE" w:rsidP="001D7EAE">
      <w:pPr>
        <w:rPr>
          <w:lang w:val="en-CA"/>
        </w:rPr>
      </w:pPr>
    </w:p>
    <w:p w14:paraId="37AC4A20" w14:textId="77777777" w:rsidR="001D7EAE" w:rsidRPr="005104B6" w:rsidRDefault="001D7EAE" w:rsidP="001D7EAE">
      <w:pPr>
        <w:rPr>
          <w:lang w:val="en-CA"/>
        </w:rPr>
      </w:pPr>
    </w:p>
    <w:p w14:paraId="67A46E49" w14:textId="77777777" w:rsidR="001D7EAE" w:rsidRPr="005104B6" w:rsidRDefault="001D7EAE" w:rsidP="001D7EAE">
      <w:pPr>
        <w:rPr>
          <w:noProof/>
          <w:sz w:val="24"/>
          <w:lang w:val="en-CA"/>
        </w:rPr>
      </w:pPr>
      <w:r w:rsidRPr="005104B6">
        <w:rPr>
          <w:noProof/>
          <w:sz w:val="24"/>
          <w:lang w:val="en-CA"/>
        </w:rPr>
        <w:drawing>
          <wp:inline distT="0" distB="0" distL="0" distR="0" wp14:anchorId="08A31741" wp14:editId="382A21FD">
            <wp:extent cx="5486400" cy="2108200"/>
            <wp:effectExtent l="0" t="0" r="0" b="0"/>
            <wp:docPr id="5" name="Picture 5" descr="Pie chart showing number and type of letters written by students at different levels, as follows: 23 letters written by 200-level students (87% breakup and never used), 18 letters written by 300-level students, and 3 letters written by 400-level students.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Pie chart showing number and type of letters written by students at different levels, as follows: 23 letters written by 200-level students (87% breakup and never used), 18 letters written by 300-level students, and 3 letters written by 400-level students. "/>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108200"/>
                    </a:xfrm>
                    <a:prstGeom prst="rect">
                      <a:avLst/>
                    </a:prstGeom>
                    <a:noFill/>
                    <a:ln>
                      <a:noFill/>
                    </a:ln>
                  </pic:spPr>
                </pic:pic>
              </a:graphicData>
            </a:graphic>
          </wp:inline>
        </w:drawing>
      </w:r>
    </w:p>
    <w:p w14:paraId="094D7CD8" w14:textId="77777777" w:rsidR="00473CEC" w:rsidRPr="0081619A" w:rsidRDefault="00473CEC" w:rsidP="001546A8">
      <w:pPr>
        <w:pStyle w:val="Heading3"/>
        <w:spacing w:before="120"/>
        <w:rPr>
          <w:rFonts w:ascii="Arial" w:eastAsia="Arial" w:hAnsi="Arial" w:cs="Arial"/>
          <w:color w:val="auto"/>
          <w:sz w:val="22"/>
          <w:szCs w:val="22"/>
          <w:lang w:val="en-CA"/>
        </w:rPr>
      </w:pPr>
      <w:r w:rsidRPr="0081619A">
        <w:rPr>
          <w:rFonts w:ascii="Arial" w:eastAsia="Arial" w:hAnsi="Arial" w:cs="Arial"/>
          <w:b/>
          <w:bCs/>
          <w:color w:val="auto"/>
          <w:sz w:val="22"/>
          <w:szCs w:val="22"/>
          <w:lang w:val="en-CA"/>
        </w:rPr>
        <w:t>Figure 2</w:t>
      </w:r>
      <w:r w:rsidRPr="0081619A">
        <w:rPr>
          <w:rFonts w:ascii="Arial" w:eastAsia="Arial" w:hAnsi="Arial" w:cs="Arial"/>
          <w:color w:val="auto"/>
          <w:sz w:val="22"/>
          <w:szCs w:val="22"/>
          <w:lang w:val="en-CA"/>
        </w:rPr>
        <w:t>: Letter types by class level</w:t>
      </w:r>
    </w:p>
    <w:p w14:paraId="2A27DD5C" w14:textId="77777777" w:rsidR="001D7EAE" w:rsidRPr="005104B6" w:rsidRDefault="001D7EAE" w:rsidP="001D7EAE">
      <w:pPr>
        <w:rPr>
          <w:lang w:val="en-CA"/>
        </w:rPr>
      </w:pPr>
    </w:p>
    <w:p w14:paraId="5663C90B" w14:textId="77777777" w:rsidR="001D7EAE" w:rsidRPr="001546A8" w:rsidRDefault="001D7EAE" w:rsidP="001546A8">
      <w:pPr>
        <w:pStyle w:val="Heading3-JIL"/>
      </w:pPr>
      <w:r w:rsidRPr="001546A8">
        <w:t>4.2. Participation</w:t>
      </w:r>
    </w:p>
    <w:p w14:paraId="4D2494CB" w14:textId="427CA16B" w:rsidR="001D7EAE" w:rsidRDefault="001D7EAE" w:rsidP="001D7EAE">
      <w:pPr>
        <w:rPr>
          <w:lang w:val="en-CA"/>
        </w:rPr>
      </w:pPr>
      <w:r w:rsidRPr="005104B6">
        <w:rPr>
          <w:lang w:val="en-CA"/>
        </w:rPr>
        <w:t xml:space="preserve">In order to determine whether students had understood how to participate in the letter writing activity, their responses were analyzed to see whether they were structured as letters. For example, did the responses open with </w:t>
      </w:r>
      <w:r w:rsidR="00292183">
        <w:rPr>
          <w:lang w:val="en-CA"/>
        </w:rPr>
        <w:t>‘</w:t>
      </w:r>
      <w:r w:rsidRPr="005104B6">
        <w:rPr>
          <w:lang w:val="en-CA"/>
        </w:rPr>
        <w:t>Dear…</w:t>
      </w:r>
      <w:r w:rsidR="00292183">
        <w:rPr>
          <w:lang w:val="en-CA"/>
        </w:rPr>
        <w:t>’</w:t>
      </w:r>
      <w:r w:rsidRPr="005104B6">
        <w:rPr>
          <w:lang w:val="en-CA"/>
        </w:rPr>
        <w:t xml:space="preserve"> or did they address the tutorial directly by referring to it as though it were a person?</w:t>
      </w:r>
    </w:p>
    <w:p w14:paraId="01725941" w14:textId="77777777" w:rsidR="000924D3" w:rsidRPr="005104B6" w:rsidRDefault="000924D3" w:rsidP="001D7EAE">
      <w:pPr>
        <w:rPr>
          <w:lang w:val="en-CA"/>
        </w:rPr>
      </w:pPr>
    </w:p>
    <w:p w14:paraId="0F6D1BDF" w14:textId="3B902F89" w:rsidR="001D7EAE" w:rsidRPr="005104B6" w:rsidRDefault="001D7EAE" w:rsidP="001D7EAE">
      <w:pPr>
        <w:rPr>
          <w:lang w:val="en-CA"/>
        </w:rPr>
      </w:pPr>
      <w:r w:rsidRPr="005104B6">
        <w:rPr>
          <w:lang w:val="en-CA"/>
        </w:rPr>
        <w:t xml:space="preserve">The analysis revealed that 73% of the total responses were written as personalized letters. Those breaking up seemed the most enthusiastic about the format, with 83% formatting their responses as letters to the tutorial. Of the love-like responses, 70% were written as letters. Only 43% of the never used responses adopted the letter format. Some participants remarked on their positive experience while handing in their letters, offering comments such as: </w:t>
      </w:r>
      <w:r w:rsidR="00292183">
        <w:rPr>
          <w:lang w:val="en-CA"/>
        </w:rPr>
        <w:t>‘</w:t>
      </w:r>
      <w:r w:rsidRPr="00617E51">
        <w:rPr>
          <w:i/>
          <w:lang w:val="en-CA"/>
        </w:rPr>
        <w:t>I actually</w:t>
      </w:r>
      <w:r w:rsidRPr="00617E51">
        <w:rPr>
          <w:i/>
          <w:iCs/>
          <w:lang w:val="en-CA"/>
        </w:rPr>
        <w:t xml:space="preserve"> enjoyed</w:t>
      </w:r>
      <w:r w:rsidRPr="00617E51">
        <w:rPr>
          <w:i/>
          <w:lang w:val="en-CA"/>
        </w:rPr>
        <w:t xml:space="preserve"> writing this</w:t>
      </w:r>
      <w:r w:rsidR="00292183">
        <w:rPr>
          <w:lang w:val="en-CA"/>
        </w:rPr>
        <w:t>’</w:t>
      </w:r>
      <w:r w:rsidRPr="005104B6">
        <w:rPr>
          <w:lang w:val="en-CA"/>
        </w:rPr>
        <w:t xml:space="preserve">, </w:t>
      </w:r>
      <w:r w:rsidR="00292183">
        <w:rPr>
          <w:lang w:val="en-CA"/>
        </w:rPr>
        <w:t>‘</w:t>
      </w:r>
      <w:r w:rsidRPr="006D103A">
        <w:rPr>
          <w:i/>
          <w:lang w:val="en-CA"/>
        </w:rPr>
        <w:t>It’s a creative way of expressing yourself</w:t>
      </w:r>
      <w:r w:rsidRPr="005104B6">
        <w:rPr>
          <w:lang w:val="en-CA"/>
        </w:rPr>
        <w:t>,</w:t>
      </w:r>
      <w:r w:rsidR="00292183">
        <w:rPr>
          <w:lang w:val="en-CA"/>
        </w:rPr>
        <w:t>’</w:t>
      </w:r>
      <w:r w:rsidRPr="005104B6">
        <w:rPr>
          <w:lang w:val="en-CA"/>
        </w:rPr>
        <w:t xml:space="preserve"> and (while grinning): </w:t>
      </w:r>
      <w:r w:rsidR="00292183">
        <w:rPr>
          <w:lang w:val="en-CA"/>
        </w:rPr>
        <w:t>‘</w:t>
      </w:r>
      <w:r w:rsidRPr="006D103A">
        <w:rPr>
          <w:i/>
          <w:lang w:val="en-CA"/>
        </w:rPr>
        <w:t>I tried to be polite. I tried to be mature</w:t>
      </w:r>
      <w:r w:rsidRPr="005104B6">
        <w:rPr>
          <w:lang w:val="en-CA"/>
        </w:rPr>
        <w:t>.</w:t>
      </w:r>
      <w:r w:rsidR="00292183">
        <w:rPr>
          <w:lang w:val="en-CA"/>
        </w:rPr>
        <w:t>’</w:t>
      </w:r>
      <w:r w:rsidRPr="005104B6">
        <w:rPr>
          <w:lang w:val="en-CA"/>
        </w:rPr>
        <w:t>  </w:t>
      </w:r>
    </w:p>
    <w:p w14:paraId="67D2F19B" w14:textId="77777777" w:rsidR="001D7EAE" w:rsidRPr="005104B6" w:rsidRDefault="001D7EAE" w:rsidP="001D7EAE">
      <w:pPr>
        <w:rPr>
          <w:lang w:val="en-CA"/>
        </w:rPr>
      </w:pPr>
    </w:p>
    <w:p w14:paraId="228BBEF9" w14:textId="77777777" w:rsidR="001D7EAE" w:rsidRPr="001546A8" w:rsidRDefault="001D7EAE" w:rsidP="001546A8">
      <w:pPr>
        <w:pStyle w:val="Heading3-JIL"/>
      </w:pPr>
      <w:r w:rsidRPr="001546A8">
        <w:t xml:space="preserve">4.3 Survey questions </w:t>
      </w:r>
    </w:p>
    <w:p w14:paraId="662A0D01" w14:textId="77777777" w:rsidR="001D7EAE" w:rsidRPr="005104B6" w:rsidRDefault="001D7EAE" w:rsidP="001D7EAE">
      <w:pPr>
        <w:rPr>
          <w:lang w:val="en-CA"/>
        </w:rPr>
      </w:pPr>
      <w:r w:rsidRPr="005104B6">
        <w:rPr>
          <w:lang w:val="en-CA"/>
        </w:rPr>
        <w:t>Two survey questions about confidence in performing library research and past library workshop attendance preceded the letters. Students’ confidence in performing library research was greater for those having taken a library workshop in the past (Mdn = 5) than for those who had not (Mdn = 4) (see Figure 3), with a Mann-Whitney test indicating that this difference was statistically significant, U(N</w:t>
      </w:r>
      <w:r w:rsidRPr="005104B6">
        <w:rPr>
          <w:vertAlign w:val="subscript"/>
          <w:lang w:val="en-CA"/>
        </w:rPr>
        <w:t>workshop</w:t>
      </w:r>
      <w:r w:rsidRPr="005104B6">
        <w:rPr>
          <w:lang w:val="en-CA"/>
        </w:rPr>
        <w:t>=18, N</w:t>
      </w:r>
      <w:r w:rsidRPr="005104B6">
        <w:rPr>
          <w:vertAlign w:val="subscript"/>
          <w:lang w:val="en-CA"/>
        </w:rPr>
        <w:t>no-workshop</w:t>
      </w:r>
      <w:r w:rsidRPr="005104B6">
        <w:rPr>
          <w:lang w:val="en-CA"/>
        </w:rPr>
        <w:t>=22,) = 82.5, p &lt; .005.   </w:t>
      </w:r>
    </w:p>
    <w:p w14:paraId="7641C231" w14:textId="77777777" w:rsidR="001D7EAE" w:rsidRPr="005104B6" w:rsidRDefault="001D7EAE" w:rsidP="001D7EAE">
      <w:pPr>
        <w:rPr>
          <w:lang w:val="en-CA"/>
        </w:rPr>
      </w:pPr>
    </w:p>
    <w:p w14:paraId="17F7FDBC" w14:textId="77777777" w:rsidR="001D7EAE" w:rsidRPr="005104B6" w:rsidRDefault="001D7EAE" w:rsidP="001D7EAE">
      <w:pPr>
        <w:rPr>
          <w:noProof/>
          <w:sz w:val="24"/>
          <w:lang w:val="en-CA"/>
        </w:rPr>
      </w:pPr>
      <w:r w:rsidRPr="005104B6">
        <w:rPr>
          <w:noProof/>
          <w:sz w:val="24"/>
          <w:lang w:val="en-CA"/>
        </w:rPr>
        <w:drawing>
          <wp:inline distT="0" distB="0" distL="0" distR="0" wp14:anchorId="20615BE4" wp14:editId="4A7F6D2A">
            <wp:extent cx="5486400" cy="2493010"/>
            <wp:effectExtent l="0" t="0" r="0" b="0"/>
            <wp:docPr id="3" name="Picture 2" descr="Bar chart showing students' confidence in performing library research according to past workshop attendance. When answering the question 'before doing assignments for this course, I was already very comfortable performing library research', 11 students who had attended a library workshop in the past 5 years agreed, compared with 2 who had not attended such a workshop. 5 workshop-attending students somewhat agreed with the statement, compared with 10 non-workshop attending students. One workshop attending student chose 'neither agree nor disagree', compared with 7 non-workshop attending student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 descr="Bar chart showing students' confidence in performing library research according to past workshop attendance. When answering the question 'before doing assignments for this course, I was already very comfortable performing library research', 11 students who had attended a library workshop in the past 5 years agreed, compared with 2 who had not attended such a workshop. 5 workshop-attending students somewhat agreed with the statement, compared with 10 non-workshop attending students. One workshop attending student chose 'neither agree nor disagree', compared with 7 non-workshop attending students."/>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493010"/>
                    </a:xfrm>
                    <a:prstGeom prst="rect">
                      <a:avLst/>
                    </a:prstGeom>
                    <a:noFill/>
                    <a:ln>
                      <a:noFill/>
                    </a:ln>
                  </pic:spPr>
                </pic:pic>
              </a:graphicData>
            </a:graphic>
          </wp:inline>
        </w:drawing>
      </w:r>
    </w:p>
    <w:p w14:paraId="49E65CCD" w14:textId="77777777" w:rsidR="00473CEC" w:rsidRPr="0081619A" w:rsidRDefault="00473CEC" w:rsidP="00473CEC">
      <w:pPr>
        <w:pStyle w:val="Heading3"/>
        <w:spacing w:before="0"/>
        <w:rPr>
          <w:rFonts w:ascii="Arial" w:eastAsia="Arial" w:hAnsi="Arial" w:cs="Arial"/>
          <w:color w:val="auto"/>
          <w:sz w:val="22"/>
          <w:szCs w:val="22"/>
          <w:lang w:val="en-CA"/>
        </w:rPr>
      </w:pPr>
      <w:r w:rsidRPr="0081619A">
        <w:rPr>
          <w:rFonts w:ascii="Arial" w:eastAsia="Arial" w:hAnsi="Arial" w:cs="Arial"/>
          <w:b/>
          <w:bCs/>
          <w:color w:val="auto"/>
          <w:sz w:val="22"/>
          <w:szCs w:val="22"/>
          <w:lang w:val="en-CA"/>
        </w:rPr>
        <w:t>Figure 3</w:t>
      </w:r>
      <w:r w:rsidRPr="0081619A">
        <w:rPr>
          <w:rFonts w:ascii="Arial" w:eastAsia="Arial" w:hAnsi="Arial" w:cs="Arial"/>
          <w:color w:val="auto"/>
          <w:sz w:val="22"/>
          <w:szCs w:val="22"/>
          <w:lang w:val="en-CA"/>
        </w:rPr>
        <w:t>: Students’ confidence in performing library research according to past workshop attendance</w:t>
      </w:r>
    </w:p>
    <w:p w14:paraId="1FCDD1B1" w14:textId="77777777" w:rsidR="001D7EAE" w:rsidRPr="005104B6" w:rsidRDefault="001D7EAE" w:rsidP="001D7EAE">
      <w:pPr>
        <w:rPr>
          <w:lang w:val="en-CA"/>
        </w:rPr>
      </w:pPr>
    </w:p>
    <w:p w14:paraId="35F23636" w14:textId="77777777" w:rsidR="001D7EAE" w:rsidRPr="005104B6" w:rsidRDefault="001D7EAE" w:rsidP="001D7EAE">
      <w:pPr>
        <w:rPr>
          <w:color w:val="000000"/>
          <w:lang w:val="en-CA"/>
        </w:rPr>
      </w:pPr>
      <w:r w:rsidRPr="005104B6">
        <w:rPr>
          <w:color w:val="000000"/>
          <w:lang w:val="en-CA"/>
        </w:rPr>
        <w:t>No statistical significance between letter types or class level and past workshop attendance or confidence in library research was revealed. The researchers noted, however, that although nearly all (6 of 7) never used letter writers also indicated never having attended a workshop in the past five years, approximately 50% of writers of all remaining letter types indicated having attended a library workshop.  </w:t>
      </w:r>
    </w:p>
    <w:p w14:paraId="28169753" w14:textId="77777777" w:rsidR="001D7EAE" w:rsidRPr="005104B6" w:rsidRDefault="001D7EAE" w:rsidP="001D7EAE">
      <w:pPr>
        <w:rPr>
          <w:lang w:val="en-CA"/>
        </w:rPr>
      </w:pPr>
    </w:p>
    <w:p w14:paraId="05B81F9A" w14:textId="77777777" w:rsidR="001D7EAE" w:rsidRPr="001546A8" w:rsidRDefault="001D7EAE" w:rsidP="001546A8">
      <w:pPr>
        <w:pStyle w:val="Heading3-JIL"/>
      </w:pPr>
      <w:r w:rsidRPr="001546A8">
        <w:t>4.4 Letter themes</w:t>
      </w:r>
    </w:p>
    <w:p w14:paraId="03A0FF43" w14:textId="4AEE61AA" w:rsidR="001D7EAE" w:rsidRPr="005104B6" w:rsidRDefault="001D7EAE" w:rsidP="001D7EAE">
      <w:pPr>
        <w:rPr>
          <w:lang w:val="en-CA"/>
        </w:rPr>
      </w:pPr>
      <w:r w:rsidRPr="005104B6">
        <w:rPr>
          <w:lang w:val="en-CA"/>
        </w:rPr>
        <w:t xml:space="preserve">The authors identified five underlying themes during letter coding, which they grouped into two overarching conceptual categories. The first category, </w:t>
      </w:r>
      <w:r w:rsidR="00292183">
        <w:rPr>
          <w:lang w:val="en-CA"/>
        </w:rPr>
        <w:t>‘</w:t>
      </w:r>
      <w:r w:rsidRPr="005104B6">
        <w:rPr>
          <w:lang w:val="en-CA"/>
        </w:rPr>
        <w:t>It’s you</w:t>
      </w:r>
      <w:r w:rsidR="00292183">
        <w:rPr>
          <w:lang w:val="en-CA"/>
        </w:rPr>
        <w:t>’</w:t>
      </w:r>
      <w:r w:rsidRPr="005104B6">
        <w:rPr>
          <w:lang w:val="en-CA"/>
        </w:rPr>
        <w:t>, referred to passages addressing the tutorial's characteristics, with themes directly describing design or content (see Table 1). The second category, </w:t>
      </w:r>
      <w:r w:rsidR="00292183">
        <w:rPr>
          <w:lang w:val="en-CA"/>
        </w:rPr>
        <w:t>’</w:t>
      </w:r>
      <w:r w:rsidRPr="005104B6">
        <w:rPr>
          <w:lang w:val="en-CA"/>
        </w:rPr>
        <w:t>It’s not you, it’s me</w:t>
      </w:r>
      <w:r w:rsidR="00292183">
        <w:rPr>
          <w:lang w:val="en-CA"/>
        </w:rPr>
        <w:t>’</w:t>
      </w:r>
      <w:r w:rsidRPr="005104B6">
        <w:rPr>
          <w:lang w:val="en-CA"/>
        </w:rPr>
        <w:t>, consisted of excerpts referring to students’ own context: their intentions to use again, their attitudes towards library research, and their learning/searching styles or preferences (see Table 2).</w:t>
      </w:r>
    </w:p>
    <w:p w14:paraId="526D562D" w14:textId="77777777" w:rsidR="001D7EAE" w:rsidRPr="005104B6" w:rsidRDefault="001D7EAE" w:rsidP="001D7EAE">
      <w:pPr>
        <w:rPr>
          <w:lang w:val="en-CA"/>
        </w:rPr>
      </w:pPr>
    </w:p>
    <w:p w14:paraId="478FD5F6" w14:textId="5D3E2AD8" w:rsidR="001D7EAE" w:rsidRPr="001546A8" w:rsidRDefault="001D7EAE" w:rsidP="001D7EAE">
      <w:pPr>
        <w:pStyle w:val="Heading3"/>
        <w:spacing w:before="0"/>
        <w:rPr>
          <w:rFonts w:ascii="Arial" w:eastAsia="Arial" w:hAnsi="Arial" w:cs="Arial"/>
          <w:color w:val="auto"/>
          <w:sz w:val="22"/>
          <w:szCs w:val="22"/>
          <w:lang w:val="en-CA"/>
        </w:rPr>
      </w:pPr>
      <w:r w:rsidRPr="001546A8">
        <w:rPr>
          <w:rFonts w:ascii="Arial" w:eastAsia="Arial" w:hAnsi="Arial" w:cs="Arial"/>
          <w:b/>
          <w:bCs/>
          <w:color w:val="auto"/>
          <w:sz w:val="22"/>
          <w:szCs w:val="22"/>
          <w:lang w:val="en-CA"/>
        </w:rPr>
        <w:t>Table 1</w:t>
      </w:r>
      <w:r w:rsidRPr="001546A8">
        <w:rPr>
          <w:rFonts w:ascii="Arial" w:eastAsia="Arial" w:hAnsi="Arial" w:cs="Arial"/>
          <w:color w:val="auto"/>
          <w:sz w:val="22"/>
          <w:szCs w:val="22"/>
          <w:lang w:val="en-CA"/>
        </w:rPr>
        <w:t xml:space="preserve">: </w:t>
      </w:r>
      <w:r w:rsidR="00292183">
        <w:rPr>
          <w:rFonts w:ascii="Arial" w:eastAsia="Arial" w:hAnsi="Arial" w:cs="Arial"/>
          <w:color w:val="auto"/>
          <w:sz w:val="22"/>
          <w:szCs w:val="22"/>
          <w:lang w:val="en-CA"/>
        </w:rPr>
        <w:t>‘</w:t>
      </w:r>
      <w:r w:rsidRPr="001546A8">
        <w:rPr>
          <w:rFonts w:ascii="Arial" w:eastAsia="Arial" w:hAnsi="Arial" w:cs="Arial"/>
          <w:color w:val="auto"/>
          <w:sz w:val="22"/>
          <w:szCs w:val="22"/>
          <w:lang w:val="en-CA"/>
        </w:rPr>
        <w:t>It’s you</w:t>
      </w:r>
      <w:r w:rsidR="00292183">
        <w:rPr>
          <w:rFonts w:ascii="Arial" w:eastAsia="Arial" w:hAnsi="Arial" w:cs="Arial"/>
          <w:color w:val="auto"/>
          <w:sz w:val="22"/>
          <w:szCs w:val="22"/>
          <w:lang w:val="en-CA"/>
        </w:rPr>
        <w:t>’</w:t>
      </w:r>
      <w:r w:rsidRPr="001546A8">
        <w:rPr>
          <w:rFonts w:ascii="Arial" w:eastAsia="Arial" w:hAnsi="Arial" w:cs="Arial"/>
          <w:color w:val="auto"/>
          <w:sz w:val="22"/>
          <w:szCs w:val="22"/>
          <w:lang w:val="en-CA"/>
        </w:rPr>
        <w:t xml:space="preserve"> letter themes addressing tutorial characteristics</w:t>
      </w:r>
    </w:p>
    <w:p w14:paraId="7410217F" w14:textId="77777777" w:rsidR="001D7EAE" w:rsidRPr="005104B6" w:rsidRDefault="001D7EAE" w:rsidP="001D7EAE">
      <w:pPr>
        <w:rPr>
          <w:lang w:val="en-CA"/>
        </w:rPr>
      </w:pPr>
    </w:p>
    <w:tbl>
      <w:tblPr>
        <w:tblW w:w="5000" w:type="pct"/>
        <w:tblBorders>
          <w:top w:val="single" w:sz="4" w:space="0" w:color="auto"/>
          <w:bottom w:val="single" w:sz="4" w:space="0" w:color="auto"/>
        </w:tblBorders>
        <w:tblLook w:val="06A0" w:firstRow="1" w:lastRow="0" w:firstColumn="1" w:lastColumn="0" w:noHBand="1" w:noVBand="1"/>
        <w:tblDescription w:val="Table showing student responses that addressed tutorial characteristics. "/>
      </w:tblPr>
      <w:tblGrid>
        <w:gridCol w:w="3470"/>
        <w:gridCol w:w="4048"/>
        <w:gridCol w:w="1830"/>
      </w:tblGrid>
      <w:tr w:rsidR="001D7EAE" w:rsidRPr="006D1534" w14:paraId="06CA8A82" w14:textId="77777777" w:rsidTr="001546A8">
        <w:tc>
          <w:tcPr>
            <w:tcW w:w="1856" w:type="pct"/>
            <w:tcBorders>
              <w:top w:val="single" w:sz="4" w:space="0" w:color="auto"/>
              <w:bottom w:val="single" w:sz="4" w:space="0" w:color="auto"/>
            </w:tcBorders>
            <w:shd w:val="clear" w:color="auto" w:fill="F2F2F2"/>
          </w:tcPr>
          <w:p w14:paraId="29E1EAE4" w14:textId="77777777" w:rsidR="001D7EAE" w:rsidRPr="006D1534" w:rsidRDefault="001D7EAE" w:rsidP="001546A8">
            <w:pPr>
              <w:spacing w:before="40"/>
              <w:rPr>
                <w:lang w:val="en-CA"/>
              </w:rPr>
            </w:pPr>
            <w:r w:rsidRPr="006D1534">
              <w:rPr>
                <w:lang w:val="en-CA"/>
              </w:rPr>
              <w:t>Theme and Code</w:t>
            </w:r>
          </w:p>
        </w:tc>
        <w:tc>
          <w:tcPr>
            <w:tcW w:w="2165" w:type="pct"/>
            <w:tcBorders>
              <w:top w:val="single" w:sz="4" w:space="0" w:color="auto"/>
              <w:bottom w:val="single" w:sz="4" w:space="0" w:color="auto"/>
            </w:tcBorders>
            <w:shd w:val="clear" w:color="auto" w:fill="F2F2F2"/>
          </w:tcPr>
          <w:p w14:paraId="5AFCFA14" w14:textId="77777777" w:rsidR="001D7EAE" w:rsidRPr="006D1534" w:rsidRDefault="001D7EAE" w:rsidP="001546A8">
            <w:pPr>
              <w:spacing w:before="40"/>
              <w:rPr>
                <w:lang w:val="en-CA"/>
              </w:rPr>
            </w:pPr>
            <w:r w:rsidRPr="006D1534">
              <w:rPr>
                <w:lang w:val="en-CA"/>
              </w:rPr>
              <w:t>Example quote</w:t>
            </w:r>
          </w:p>
        </w:tc>
        <w:tc>
          <w:tcPr>
            <w:tcW w:w="979" w:type="pct"/>
            <w:tcBorders>
              <w:top w:val="single" w:sz="4" w:space="0" w:color="auto"/>
              <w:bottom w:val="single" w:sz="4" w:space="0" w:color="auto"/>
            </w:tcBorders>
            <w:shd w:val="clear" w:color="auto" w:fill="F2F2F2"/>
          </w:tcPr>
          <w:p w14:paraId="3612B585" w14:textId="77777777" w:rsidR="001D7EAE" w:rsidRPr="006D1534" w:rsidRDefault="001D7EAE" w:rsidP="001546A8">
            <w:pPr>
              <w:spacing w:before="40" w:after="40"/>
              <w:rPr>
                <w:lang w:val="en-CA"/>
              </w:rPr>
            </w:pPr>
            <w:r w:rsidRPr="006D1534">
              <w:rPr>
                <w:lang w:val="en-CA"/>
              </w:rPr>
              <w:t>No. of excerpts (No. of letters)</w:t>
            </w:r>
            <w:r w:rsidRPr="006D1534">
              <w:rPr>
                <w:vertAlign w:val="superscript"/>
                <w:lang w:val="en-CA"/>
              </w:rPr>
              <w:t>a</w:t>
            </w:r>
          </w:p>
        </w:tc>
      </w:tr>
      <w:tr w:rsidR="001D7EAE" w:rsidRPr="006D1534" w14:paraId="5A9ECD08" w14:textId="77777777" w:rsidTr="001546A8">
        <w:tc>
          <w:tcPr>
            <w:tcW w:w="5000" w:type="pct"/>
            <w:gridSpan w:val="3"/>
            <w:tcBorders>
              <w:top w:val="single" w:sz="4" w:space="0" w:color="auto"/>
              <w:bottom w:val="single" w:sz="4" w:space="0" w:color="BFBFBF"/>
            </w:tcBorders>
            <w:shd w:val="clear" w:color="auto" w:fill="auto"/>
          </w:tcPr>
          <w:p w14:paraId="233052E1" w14:textId="77777777" w:rsidR="001D7EAE" w:rsidRPr="006D1534" w:rsidRDefault="001D7EAE" w:rsidP="001546A8">
            <w:pPr>
              <w:spacing w:before="40"/>
              <w:rPr>
                <w:lang w:val="en-CA"/>
              </w:rPr>
            </w:pPr>
            <w:r w:rsidRPr="006D1534">
              <w:rPr>
                <w:lang w:val="en-CA"/>
              </w:rPr>
              <w:t>Design</w:t>
            </w:r>
          </w:p>
          <w:p w14:paraId="0FE83751" w14:textId="77777777" w:rsidR="001D7EAE" w:rsidRPr="006D1534" w:rsidRDefault="001D7EAE" w:rsidP="001546A8">
            <w:pPr>
              <w:spacing w:before="40"/>
              <w:rPr>
                <w:lang w:val="en-CA"/>
              </w:rPr>
            </w:pPr>
          </w:p>
        </w:tc>
      </w:tr>
      <w:tr w:rsidR="001D7EAE" w:rsidRPr="006D1534" w14:paraId="5494EEF1" w14:textId="77777777" w:rsidTr="001546A8">
        <w:tc>
          <w:tcPr>
            <w:tcW w:w="1856" w:type="pct"/>
            <w:tcBorders>
              <w:top w:val="single" w:sz="4" w:space="0" w:color="BFBFBF"/>
              <w:bottom w:val="single" w:sz="4" w:space="0" w:color="BFBFBF"/>
            </w:tcBorders>
            <w:shd w:val="clear" w:color="auto" w:fill="auto"/>
          </w:tcPr>
          <w:p w14:paraId="192C8500" w14:textId="77777777" w:rsidR="001D7EAE" w:rsidRPr="006D1534" w:rsidRDefault="001D7EAE" w:rsidP="001546A8">
            <w:pPr>
              <w:spacing w:before="40"/>
              <w:ind w:left="430"/>
              <w:rPr>
                <w:lang w:val="en-CA"/>
              </w:rPr>
            </w:pPr>
            <w:r w:rsidRPr="006D1534">
              <w:rPr>
                <w:lang w:val="en-CA"/>
              </w:rPr>
              <w:t>Easy to use</w:t>
            </w:r>
          </w:p>
        </w:tc>
        <w:tc>
          <w:tcPr>
            <w:tcW w:w="2165" w:type="pct"/>
            <w:tcBorders>
              <w:top w:val="single" w:sz="4" w:space="0" w:color="BFBFBF"/>
              <w:bottom w:val="single" w:sz="4" w:space="0" w:color="BFBFBF"/>
            </w:tcBorders>
            <w:shd w:val="clear" w:color="auto" w:fill="auto"/>
          </w:tcPr>
          <w:p w14:paraId="5BF7035A" w14:textId="094FF61E" w:rsidR="001D7EAE" w:rsidRPr="006D1534" w:rsidRDefault="00292183" w:rsidP="001546A8">
            <w:pPr>
              <w:spacing w:before="40"/>
              <w:rPr>
                <w:lang w:val="en-CA"/>
              </w:rPr>
            </w:pPr>
            <w:r>
              <w:rPr>
                <w:lang w:val="en-CA"/>
              </w:rPr>
              <w:t>‘</w:t>
            </w:r>
            <w:r w:rsidR="001D7EAE" w:rsidRPr="006D1534">
              <w:rPr>
                <w:i/>
                <w:lang w:val="en-CA"/>
              </w:rPr>
              <w:t>I like how easy you were to use</w:t>
            </w:r>
            <w:r>
              <w:rPr>
                <w:lang w:val="en-CA"/>
              </w:rPr>
              <w:t>’</w:t>
            </w:r>
            <w:r w:rsidR="001D7EAE" w:rsidRPr="006D1534">
              <w:rPr>
                <w:lang w:val="en-CA"/>
              </w:rPr>
              <w:t xml:space="preserve"> (Student #3)</w:t>
            </w:r>
          </w:p>
          <w:p w14:paraId="2E486FEF" w14:textId="77777777" w:rsidR="001D7EAE" w:rsidRPr="006D1534" w:rsidRDefault="001D7EAE" w:rsidP="001546A8">
            <w:pPr>
              <w:spacing w:before="40"/>
              <w:rPr>
                <w:lang w:val="en-CA"/>
              </w:rPr>
            </w:pPr>
          </w:p>
        </w:tc>
        <w:tc>
          <w:tcPr>
            <w:tcW w:w="979" w:type="pct"/>
            <w:tcBorders>
              <w:top w:val="single" w:sz="4" w:space="0" w:color="BFBFBF"/>
              <w:bottom w:val="single" w:sz="4" w:space="0" w:color="BFBFBF"/>
            </w:tcBorders>
            <w:shd w:val="clear" w:color="auto" w:fill="auto"/>
          </w:tcPr>
          <w:p w14:paraId="2BFAEE4E" w14:textId="77777777" w:rsidR="001D7EAE" w:rsidRPr="006D1534" w:rsidRDefault="001D7EAE" w:rsidP="001546A8">
            <w:pPr>
              <w:spacing w:before="40"/>
              <w:rPr>
                <w:lang w:val="en-CA"/>
              </w:rPr>
            </w:pPr>
            <w:r w:rsidRPr="006D1534">
              <w:rPr>
                <w:lang w:val="en-CA"/>
              </w:rPr>
              <w:t>4 (3L, 1A)</w:t>
            </w:r>
          </w:p>
        </w:tc>
      </w:tr>
      <w:tr w:rsidR="001D7EAE" w:rsidRPr="006D1534" w14:paraId="056A7814" w14:textId="77777777" w:rsidTr="001546A8">
        <w:tc>
          <w:tcPr>
            <w:tcW w:w="1856" w:type="pct"/>
            <w:tcBorders>
              <w:top w:val="single" w:sz="4" w:space="0" w:color="BFBFBF"/>
              <w:bottom w:val="single" w:sz="4" w:space="0" w:color="BFBFBF"/>
            </w:tcBorders>
            <w:shd w:val="clear" w:color="auto" w:fill="auto"/>
          </w:tcPr>
          <w:p w14:paraId="709F6DC3" w14:textId="77777777" w:rsidR="001D7EAE" w:rsidRPr="006D1534" w:rsidRDefault="001D7EAE" w:rsidP="001546A8">
            <w:pPr>
              <w:spacing w:before="40"/>
              <w:ind w:left="430"/>
              <w:rPr>
                <w:lang w:val="en-CA"/>
              </w:rPr>
            </w:pPr>
            <w:r w:rsidRPr="006D1534">
              <w:rPr>
                <w:lang w:val="en-CA"/>
              </w:rPr>
              <w:lastRenderedPageBreak/>
              <w:t>Good design (well organized, nice layout/interface/format)</w:t>
            </w:r>
          </w:p>
        </w:tc>
        <w:tc>
          <w:tcPr>
            <w:tcW w:w="2165" w:type="pct"/>
            <w:tcBorders>
              <w:top w:val="single" w:sz="4" w:space="0" w:color="BFBFBF"/>
              <w:bottom w:val="single" w:sz="4" w:space="0" w:color="BFBFBF"/>
            </w:tcBorders>
            <w:shd w:val="clear" w:color="auto" w:fill="auto"/>
          </w:tcPr>
          <w:p w14:paraId="2F42C65B" w14:textId="54284CB3" w:rsidR="001D7EAE" w:rsidRPr="006D1534" w:rsidRDefault="00292183" w:rsidP="001546A8">
            <w:pPr>
              <w:spacing w:before="40"/>
              <w:rPr>
                <w:lang w:val="en-CA"/>
              </w:rPr>
            </w:pPr>
            <w:r>
              <w:rPr>
                <w:lang w:val="en-CA"/>
              </w:rPr>
              <w:t>‘</w:t>
            </w:r>
            <w:r w:rsidR="001D7EAE" w:rsidRPr="006D1534">
              <w:rPr>
                <w:i/>
                <w:lang w:val="en-CA"/>
              </w:rPr>
              <w:t>I thought that the library tutorial was very informative as it continuously had sub tabs to click on each section</w:t>
            </w:r>
            <w:r w:rsidR="001D7EAE" w:rsidRPr="006D1534">
              <w:rPr>
                <w:lang w:val="en-CA"/>
              </w:rPr>
              <w:t>.</w:t>
            </w:r>
            <w:r>
              <w:rPr>
                <w:lang w:val="en-CA"/>
              </w:rPr>
              <w:t>’</w:t>
            </w:r>
            <w:r w:rsidR="001D7EAE" w:rsidRPr="006D1534">
              <w:rPr>
                <w:lang w:val="en-CA"/>
              </w:rPr>
              <w:t xml:space="preserve"> (Student #45)</w:t>
            </w:r>
          </w:p>
          <w:p w14:paraId="2FC055EB" w14:textId="77777777" w:rsidR="001D7EAE" w:rsidRPr="006D1534" w:rsidRDefault="001D7EAE" w:rsidP="001546A8">
            <w:pPr>
              <w:spacing w:before="40"/>
              <w:rPr>
                <w:lang w:val="en-CA"/>
              </w:rPr>
            </w:pPr>
          </w:p>
        </w:tc>
        <w:tc>
          <w:tcPr>
            <w:tcW w:w="979" w:type="pct"/>
            <w:tcBorders>
              <w:top w:val="single" w:sz="4" w:space="0" w:color="BFBFBF"/>
              <w:bottom w:val="single" w:sz="4" w:space="0" w:color="BFBFBF"/>
            </w:tcBorders>
            <w:shd w:val="clear" w:color="auto" w:fill="auto"/>
          </w:tcPr>
          <w:p w14:paraId="00ACEF71" w14:textId="77777777" w:rsidR="001D7EAE" w:rsidRPr="006D1534" w:rsidRDefault="001D7EAE" w:rsidP="001546A8">
            <w:pPr>
              <w:spacing w:before="40"/>
              <w:rPr>
                <w:lang w:val="en-CA"/>
              </w:rPr>
            </w:pPr>
            <w:r w:rsidRPr="006D1534">
              <w:rPr>
                <w:lang w:val="en-CA"/>
              </w:rPr>
              <w:t>10 (1B, 7L)</w:t>
            </w:r>
          </w:p>
        </w:tc>
      </w:tr>
      <w:tr w:rsidR="001D7EAE" w:rsidRPr="006D1534" w14:paraId="4A141D02" w14:textId="77777777" w:rsidTr="001546A8">
        <w:tc>
          <w:tcPr>
            <w:tcW w:w="1856" w:type="pct"/>
            <w:tcBorders>
              <w:top w:val="single" w:sz="4" w:space="0" w:color="BFBFBF"/>
              <w:bottom w:val="single" w:sz="4" w:space="0" w:color="auto"/>
            </w:tcBorders>
            <w:shd w:val="clear" w:color="auto" w:fill="auto"/>
          </w:tcPr>
          <w:p w14:paraId="608D4951" w14:textId="77777777" w:rsidR="001D7EAE" w:rsidRPr="006D1534" w:rsidRDefault="001D7EAE" w:rsidP="001546A8">
            <w:pPr>
              <w:spacing w:before="40"/>
              <w:ind w:left="430"/>
              <w:rPr>
                <w:lang w:val="en-CA"/>
              </w:rPr>
            </w:pPr>
            <w:r w:rsidRPr="006D1534">
              <w:rPr>
                <w:lang w:val="en-CA"/>
              </w:rPr>
              <w:t>Bad design, content or layout problems</w:t>
            </w:r>
          </w:p>
        </w:tc>
        <w:tc>
          <w:tcPr>
            <w:tcW w:w="2165" w:type="pct"/>
            <w:tcBorders>
              <w:top w:val="single" w:sz="4" w:space="0" w:color="BFBFBF"/>
              <w:bottom w:val="single" w:sz="4" w:space="0" w:color="auto"/>
            </w:tcBorders>
            <w:shd w:val="clear" w:color="auto" w:fill="auto"/>
          </w:tcPr>
          <w:p w14:paraId="27429AA7" w14:textId="26F4FFD3" w:rsidR="001D7EAE" w:rsidRPr="006D1534" w:rsidRDefault="00292183" w:rsidP="001546A8">
            <w:pPr>
              <w:spacing w:before="40"/>
              <w:rPr>
                <w:lang w:val="en-CA"/>
              </w:rPr>
            </w:pPr>
            <w:r>
              <w:rPr>
                <w:lang w:val="en-CA"/>
              </w:rPr>
              <w:t>‘</w:t>
            </w:r>
            <w:r w:rsidR="001D7EAE" w:rsidRPr="006D1534">
              <w:rPr>
                <w:i/>
                <w:lang w:val="en-CA"/>
              </w:rPr>
              <w:t xml:space="preserve">Overall the layout (with tips, librarian advice, side info) feels a little lacking in </w:t>
            </w:r>
            <w:r>
              <w:rPr>
                <w:i/>
                <w:lang w:val="en-CA"/>
              </w:rPr>
              <w:t>‘</w:t>
            </w:r>
            <w:r w:rsidR="001D7EAE" w:rsidRPr="006D1534">
              <w:rPr>
                <w:i/>
                <w:lang w:val="en-CA"/>
              </w:rPr>
              <w:t>standardized</w:t>
            </w:r>
            <w:r>
              <w:rPr>
                <w:i/>
                <w:lang w:val="en-CA"/>
              </w:rPr>
              <w:t>’</w:t>
            </w:r>
            <w:r w:rsidR="001D7EAE" w:rsidRPr="006D1534">
              <w:rPr>
                <w:i/>
                <w:lang w:val="en-CA"/>
              </w:rPr>
              <w:t xml:space="preserve"> format</w:t>
            </w:r>
            <w:r w:rsidR="001D7EAE" w:rsidRPr="006D1534">
              <w:rPr>
                <w:lang w:val="en-CA"/>
              </w:rPr>
              <w:t>.</w:t>
            </w:r>
            <w:r>
              <w:rPr>
                <w:lang w:val="en-CA"/>
              </w:rPr>
              <w:t>’</w:t>
            </w:r>
            <w:r w:rsidR="001D7EAE" w:rsidRPr="006D1534">
              <w:rPr>
                <w:lang w:val="en-CA"/>
              </w:rPr>
              <w:t xml:space="preserve"> (Student #23)</w:t>
            </w:r>
          </w:p>
          <w:p w14:paraId="4133B450" w14:textId="77777777" w:rsidR="001D7EAE" w:rsidRPr="006D1534" w:rsidRDefault="001D7EAE" w:rsidP="001546A8">
            <w:pPr>
              <w:spacing w:before="40"/>
              <w:rPr>
                <w:lang w:val="en-CA"/>
              </w:rPr>
            </w:pPr>
          </w:p>
        </w:tc>
        <w:tc>
          <w:tcPr>
            <w:tcW w:w="979" w:type="pct"/>
            <w:tcBorders>
              <w:top w:val="single" w:sz="4" w:space="0" w:color="BFBFBF"/>
              <w:bottom w:val="single" w:sz="4" w:space="0" w:color="auto"/>
            </w:tcBorders>
            <w:shd w:val="clear" w:color="auto" w:fill="auto"/>
          </w:tcPr>
          <w:p w14:paraId="77992B03" w14:textId="77777777" w:rsidR="001D7EAE" w:rsidRPr="006D1534" w:rsidRDefault="001D7EAE" w:rsidP="001546A8">
            <w:pPr>
              <w:spacing w:before="40"/>
              <w:rPr>
                <w:lang w:val="en-CA"/>
              </w:rPr>
            </w:pPr>
            <w:r w:rsidRPr="006D1534">
              <w:rPr>
                <w:lang w:val="en-CA"/>
              </w:rPr>
              <w:t>3 (1B, 1L)</w:t>
            </w:r>
          </w:p>
        </w:tc>
      </w:tr>
      <w:tr w:rsidR="001D7EAE" w:rsidRPr="006D1534" w14:paraId="42DACFD8" w14:textId="77777777" w:rsidTr="001546A8">
        <w:tc>
          <w:tcPr>
            <w:tcW w:w="5000" w:type="pct"/>
            <w:gridSpan w:val="3"/>
            <w:tcBorders>
              <w:top w:val="single" w:sz="4" w:space="0" w:color="auto"/>
              <w:bottom w:val="nil"/>
            </w:tcBorders>
            <w:shd w:val="clear" w:color="auto" w:fill="auto"/>
          </w:tcPr>
          <w:p w14:paraId="00A9A694" w14:textId="77777777" w:rsidR="001D7EAE" w:rsidRPr="006D1534" w:rsidRDefault="001D7EAE" w:rsidP="001546A8">
            <w:pPr>
              <w:spacing w:before="40"/>
              <w:rPr>
                <w:lang w:val="en-CA"/>
              </w:rPr>
            </w:pPr>
            <w:r w:rsidRPr="006D1534">
              <w:rPr>
                <w:lang w:val="en-CA"/>
              </w:rPr>
              <w:t>Content</w:t>
            </w:r>
          </w:p>
          <w:p w14:paraId="07682EDF" w14:textId="77777777" w:rsidR="001D7EAE" w:rsidRPr="006D1534" w:rsidRDefault="001D7EAE" w:rsidP="001546A8">
            <w:pPr>
              <w:spacing w:before="40"/>
              <w:rPr>
                <w:lang w:val="en-CA"/>
              </w:rPr>
            </w:pPr>
          </w:p>
        </w:tc>
      </w:tr>
      <w:tr w:rsidR="001D7EAE" w:rsidRPr="006D1534" w14:paraId="4EFB3F91" w14:textId="77777777" w:rsidTr="001546A8">
        <w:tc>
          <w:tcPr>
            <w:tcW w:w="1856" w:type="pct"/>
            <w:tcBorders>
              <w:top w:val="single" w:sz="4" w:space="0" w:color="BFBFBF"/>
              <w:bottom w:val="single" w:sz="4" w:space="0" w:color="BFBFBF"/>
            </w:tcBorders>
            <w:shd w:val="clear" w:color="auto" w:fill="auto"/>
          </w:tcPr>
          <w:p w14:paraId="5F64649A" w14:textId="77777777" w:rsidR="001D7EAE" w:rsidRPr="006D1534" w:rsidRDefault="001D7EAE" w:rsidP="001546A8">
            <w:pPr>
              <w:spacing w:before="40"/>
              <w:ind w:left="430"/>
              <w:rPr>
                <w:lang w:val="en-CA"/>
              </w:rPr>
            </w:pPr>
            <w:r w:rsidRPr="006D1534">
              <w:rPr>
                <w:lang w:val="en-CA"/>
              </w:rPr>
              <w:t>Usefulness (clear, helpful, good amount of detail)</w:t>
            </w:r>
          </w:p>
        </w:tc>
        <w:tc>
          <w:tcPr>
            <w:tcW w:w="2165" w:type="pct"/>
            <w:tcBorders>
              <w:top w:val="single" w:sz="4" w:space="0" w:color="BFBFBF"/>
              <w:bottom w:val="single" w:sz="4" w:space="0" w:color="BFBFBF"/>
            </w:tcBorders>
            <w:shd w:val="clear" w:color="auto" w:fill="auto"/>
          </w:tcPr>
          <w:p w14:paraId="297442E9" w14:textId="202106D0" w:rsidR="001D7EAE" w:rsidRPr="006D1534" w:rsidRDefault="00292183" w:rsidP="001546A8">
            <w:pPr>
              <w:spacing w:before="40"/>
              <w:rPr>
                <w:lang w:val="en-CA"/>
              </w:rPr>
            </w:pPr>
            <w:r>
              <w:rPr>
                <w:lang w:val="en-CA"/>
              </w:rPr>
              <w:t>‘</w:t>
            </w:r>
            <w:r w:rsidR="001D7EAE" w:rsidRPr="006D1534">
              <w:rPr>
                <w:i/>
                <w:lang w:val="en-CA"/>
              </w:rPr>
              <w:t>The tutorial was very helpful (…) I found answers to many questions that I've had prior to beginning my research</w:t>
            </w:r>
            <w:r>
              <w:rPr>
                <w:lang w:val="en-CA"/>
              </w:rPr>
              <w:t>’</w:t>
            </w:r>
            <w:r w:rsidR="001D7EAE" w:rsidRPr="006D1534">
              <w:rPr>
                <w:lang w:val="en-CA"/>
              </w:rPr>
              <w:t xml:space="preserve"> (Student #24)</w:t>
            </w:r>
          </w:p>
          <w:p w14:paraId="6C37ABC0" w14:textId="77777777" w:rsidR="001D7EAE" w:rsidRPr="006D1534" w:rsidRDefault="001D7EAE" w:rsidP="001546A8">
            <w:pPr>
              <w:spacing w:before="40"/>
              <w:rPr>
                <w:lang w:val="en-CA"/>
              </w:rPr>
            </w:pPr>
          </w:p>
        </w:tc>
        <w:tc>
          <w:tcPr>
            <w:tcW w:w="979" w:type="pct"/>
            <w:tcBorders>
              <w:top w:val="single" w:sz="4" w:space="0" w:color="BFBFBF"/>
              <w:bottom w:val="single" w:sz="4" w:space="0" w:color="BFBFBF"/>
            </w:tcBorders>
            <w:shd w:val="clear" w:color="auto" w:fill="auto"/>
          </w:tcPr>
          <w:p w14:paraId="2EC4CD0D" w14:textId="77777777" w:rsidR="001D7EAE" w:rsidRPr="006D1534" w:rsidRDefault="001D7EAE" w:rsidP="001546A8">
            <w:pPr>
              <w:spacing w:before="40"/>
              <w:rPr>
                <w:lang w:val="en-CA"/>
              </w:rPr>
            </w:pPr>
            <w:r w:rsidRPr="006D1534">
              <w:rPr>
                <w:lang w:val="en-CA"/>
              </w:rPr>
              <w:t>20 (3B, 8L, 1O, 2A)</w:t>
            </w:r>
          </w:p>
        </w:tc>
      </w:tr>
      <w:tr w:rsidR="001D7EAE" w:rsidRPr="006D1534" w14:paraId="3AFC32CD" w14:textId="77777777" w:rsidTr="001546A8">
        <w:tc>
          <w:tcPr>
            <w:tcW w:w="1856" w:type="pct"/>
            <w:tcBorders>
              <w:top w:val="single" w:sz="4" w:space="0" w:color="BFBFBF"/>
              <w:bottom w:val="single" w:sz="4" w:space="0" w:color="BFBFBF"/>
            </w:tcBorders>
            <w:shd w:val="clear" w:color="auto" w:fill="auto"/>
          </w:tcPr>
          <w:p w14:paraId="17C28155" w14:textId="77777777" w:rsidR="001D7EAE" w:rsidRPr="006D1534" w:rsidRDefault="001D7EAE" w:rsidP="001546A8">
            <w:pPr>
              <w:spacing w:before="40"/>
              <w:ind w:left="430"/>
              <w:rPr>
                <w:lang w:val="en-CA"/>
              </w:rPr>
            </w:pPr>
            <w:r w:rsidRPr="006D1534">
              <w:rPr>
                <w:lang w:val="en-CA"/>
              </w:rPr>
              <w:t>Underwhelming (too basic, not enough detail or missing content, boring)</w:t>
            </w:r>
          </w:p>
        </w:tc>
        <w:tc>
          <w:tcPr>
            <w:tcW w:w="2165" w:type="pct"/>
            <w:tcBorders>
              <w:top w:val="single" w:sz="4" w:space="0" w:color="BFBFBF"/>
              <w:bottom w:val="single" w:sz="4" w:space="0" w:color="BFBFBF"/>
            </w:tcBorders>
            <w:shd w:val="clear" w:color="auto" w:fill="auto"/>
          </w:tcPr>
          <w:p w14:paraId="1BE863B0" w14:textId="1881418E" w:rsidR="001D7EAE" w:rsidRPr="006D1534" w:rsidRDefault="00292183" w:rsidP="001546A8">
            <w:pPr>
              <w:spacing w:before="40"/>
              <w:rPr>
                <w:lang w:val="en-CA"/>
              </w:rPr>
            </w:pPr>
            <w:r>
              <w:rPr>
                <w:lang w:val="en-CA"/>
              </w:rPr>
              <w:t>‘</w:t>
            </w:r>
            <w:r w:rsidR="001D7EAE" w:rsidRPr="006D1534">
              <w:rPr>
                <w:i/>
                <w:lang w:val="en-CA"/>
              </w:rPr>
              <w:t>I wasn't particularly wowed as the information was pretty basic</w:t>
            </w:r>
            <w:r>
              <w:rPr>
                <w:lang w:val="en-CA"/>
              </w:rPr>
              <w:t>’</w:t>
            </w:r>
            <w:r w:rsidR="001D7EAE" w:rsidRPr="006D1534">
              <w:rPr>
                <w:lang w:val="en-CA"/>
              </w:rPr>
              <w:t xml:space="preserve"> (Student #28)</w:t>
            </w:r>
          </w:p>
          <w:p w14:paraId="3D450731" w14:textId="77777777" w:rsidR="001D7EAE" w:rsidRPr="006D1534" w:rsidRDefault="001D7EAE" w:rsidP="001546A8">
            <w:pPr>
              <w:spacing w:before="40"/>
              <w:rPr>
                <w:lang w:val="en-CA"/>
              </w:rPr>
            </w:pPr>
          </w:p>
        </w:tc>
        <w:tc>
          <w:tcPr>
            <w:tcW w:w="979" w:type="pct"/>
            <w:tcBorders>
              <w:top w:val="single" w:sz="4" w:space="0" w:color="BFBFBF"/>
              <w:bottom w:val="single" w:sz="4" w:space="0" w:color="BFBFBF"/>
            </w:tcBorders>
            <w:shd w:val="clear" w:color="auto" w:fill="auto"/>
          </w:tcPr>
          <w:p w14:paraId="1C31BBBE" w14:textId="77777777" w:rsidR="001D7EAE" w:rsidRPr="006D1534" w:rsidRDefault="001D7EAE" w:rsidP="001546A8">
            <w:pPr>
              <w:spacing w:before="40"/>
              <w:rPr>
                <w:lang w:val="en-CA"/>
              </w:rPr>
            </w:pPr>
            <w:r w:rsidRPr="006D1534">
              <w:rPr>
                <w:lang w:val="en-CA"/>
              </w:rPr>
              <w:t>12 (10B, 1L, 1A)</w:t>
            </w:r>
          </w:p>
        </w:tc>
      </w:tr>
      <w:tr w:rsidR="001D7EAE" w:rsidRPr="006D1534" w14:paraId="749CE5F4" w14:textId="77777777" w:rsidTr="001546A8">
        <w:tc>
          <w:tcPr>
            <w:tcW w:w="1856" w:type="pct"/>
            <w:tcBorders>
              <w:top w:val="single" w:sz="4" w:space="0" w:color="BFBFBF"/>
            </w:tcBorders>
            <w:shd w:val="clear" w:color="auto" w:fill="auto"/>
          </w:tcPr>
          <w:p w14:paraId="7835C6F3" w14:textId="77777777" w:rsidR="001D7EAE" w:rsidRPr="006D1534" w:rsidRDefault="001D7EAE" w:rsidP="001546A8">
            <w:pPr>
              <w:spacing w:before="40"/>
              <w:ind w:left="430"/>
              <w:rPr>
                <w:lang w:val="en-CA"/>
              </w:rPr>
            </w:pPr>
            <w:r w:rsidRPr="006D1534">
              <w:rPr>
                <w:lang w:val="en-CA"/>
              </w:rPr>
              <w:t>Overwhelming (too much detail, too complicated, too many links)</w:t>
            </w:r>
          </w:p>
        </w:tc>
        <w:tc>
          <w:tcPr>
            <w:tcW w:w="2165" w:type="pct"/>
            <w:tcBorders>
              <w:top w:val="single" w:sz="4" w:space="0" w:color="BFBFBF"/>
            </w:tcBorders>
            <w:shd w:val="clear" w:color="auto" w:fill="auto"/>
          </w:tcPr>
          <w:p w14:paraId="421E485F" w14:textId="74CAAF15" w:rsidR="001D7EAE" w:rsidRPr="006D1534" w:rsidRDefault="00292183" w:rsidP="001546A8">
            <w:pPr>
              <w:spacing w:before="40" w:after="40"/>
              <w:rPr>
                <w:lang w:val="en-CA"/>
              </w:rPr>
            </w:pPr>
            <w:r>
              <w:rPr>
                <w:lang w:val="en-CA"/>
              </w:rPr>
              <w:t>‘</w:t>
            </w:r>
            <w:r w:rsidR="001D7EAE" w:rsidRPr="006D1534">
              <w:rPr>
                <w:i/>
                <w:lang w:val="en-CA"/>
              </w:rPr>
              <w:t>Looking at the long list of steps to follow is daunting and makes you question if it’s really worth it</w:t>
            </w:r>
            <w:r>
              <w:rPr>
                <w:lang w:val="en-CA"/>
              </w:rPr>
              <w:t>’</w:t>
            </w:r>
            <w:r w:rsidR="001D7EAE" w:rsidRPr="006D1534">
              <w:rPr>
                <w:lang w:val="en-CA"/>
              </w:rPr>
              <w:t xml:space="preserve"> (Student #29)</w:t>
            </w:r>
          </w:p>
        </w:tc>
        <w:tc>
          <w:tcPr>
            <w:tcW w:w="979" w:type="pct"/>
            <w:tcBorders>
              <w:top w:val="single" w:sz="4" w:space="0" w:color="BFBFBF"/>
            </w:tcBorders>
            <w:shd w:val="clear" w:color="auto" w:fill="auto"/>
          </w:tcPr>
          <w:p w14:paraId="1ECB342A" w14:textId="77777777" w:rsidR="001D7EAE" w:rsidRPr="006D1534" w:rsidRDefault="001D7EAE" w:rsidP="001546A8">
            <w:pPr>
              <w:spacing w:before="40"/>
              <w:rPr>
                <w:lang w:val="en-CA"/>
              </w:rPr>
            </w:pPr>
            <w:r w:rsidRPr="006D1534">
              <w:rPr>
                <w:lang w:val="en-CA"/>
              </w:rPr>
              <w:t>17 (7B, 1O, 2A)</w:t>
            </w:r>
          </w:p>
        </w:tc>
      </w:tr>
    </w:tbl>
    <w:p w14:paraId="422EB268" w14:textId="77777777" w:rsidR="001D7EAE" w:rsidRPr="005104B6" w:rsidRDefault="001D7EAE" w:rsidP="001D7EAE">
      <w:pPr>
        <w:rPr>
          <w:lang w:val="en-CA"/>
        </w:rPr>
      </w:pPr>
      <w:r w:rsidRPr="005104B6">
        <w:rPr>
          <w:vertAlign w:val="superscript"/>
          <w:lang w:val="en-CA"/>
        </w:rPr>
        <w:t>a</w:t>
      </w:r>
      <w:r w:rsidRPr="005104B6">
        <w:rPr>
          <w:lang w:val="en-CA"/>
        </w:rPr>
        <w:t xml:space="preserve"> The number of letters and excerpts do not always match as there may have been multiple excerpts per theme in the same letter. Letter codes are the following: B=Breakup, L=Love, N=Never used, O=One-night stand, A=Ambivalent.</w:t>
      </w:r>
    </w:p>
    <w:p w14:paraId="147F27DC" w14:textId="77777777" w:rsidR="001D7EAE" w:rsidRPr="005104B6" w:rsidRDefault="001D7EAE" w:rsidP="001D7EAE">
      <w:pPr>
        <w:rPr>
          <w:lang w:val="en-CA"/>
        </w:rPr>
      </w:pPr>
    </w:p>
    <w:p w14:paraId="6D28E1DC" w14:textId="71D0844D" w:rsidR="001D7EAE" w:rsidRPr="005104B6" w:rsidRDefault="001D7EAE" w:rsidP="001D7EAE">
      <w:pPr>
        <w:pStyle w:val="Heading3"/>
        <w:spacing w:before="0"/>
        <w:rPr>
          <w:rFonts w:ascii="Arial" w:hAnsi="Arial"/>
          <w:lang w:val="en-CA"/>
        </w:rPr>
      </w:pPr>
      <w:r w:rsidRPr="001546A8">
        <w:rPr>
          <w:rFonts w:ascii="Arial" w:eastAsia="Arial" w:hAnsi="Arial" w:cs="Arial"/>
          <w:b/>
          <w:bCs/>
          <w:color w:val="auto"/>
          <w:sz w:val="22"/>
          <w:szCs w:val="22"/>
          <w:lang w:val="en-CA"/>
        </w:rPr>
        <w:t>Table 2</w:t>
      </w:r>
      <w:r w:rsidRPr="001546A8">
        <w:rPr>
          <w:rFonts w:ascii="Arial" w:eastAsia="Arial" w:hAnsi="Arial" w:cs="Arial"/>
          <w:color w:val="auto"/>
          <w:sz w:val="22"/>
          <w:szCs w:val="22"/>
          <w:lang w:val="en-CA"/>
        </w:rPr>
        <w:t xml:space="preserve">: </w:t>
      </w:r>
      <w:r w:rsidR="00292183">
        <w:rPr>
          <w:rFonts w:ascii="Arial" w:eastAsia="Arial" w:hAnsi="Arial" w:cs="Arial"/>
          <w:color w:val="auto"/>
          <w:sz w:val="22"/>
          <w:szCs w:val="22"/>
          <w:lang w:val="en-CA"/>
        </w:rPr>
        <w:t>‘</w:t>
      </w:r>
      <w:r w:rsidRPr="001546A8">
        <w:rPr>
          <w:rFonts w:ascii="Arial" w:eastAsia="Arial" w:hAnsi="Arial" w:cs="Arial"/>
          <w:color w:val="auto"/>
          <w:sz w:val="22"/>
          <w:szCs w:val="22"/>
          <w:lang w:val="en-CA"/>
        </w:rPr>
        <w:t>It’s not you it’s me</w:t>
      </w:r>
      <w:r w:rsidR="00292183">
        <w:rPr>
          <w:rFonts w:ascii="Arial" w:eastAsia="Arial" w:hAnsi="Arial" w:cs="Arial"/>
          <w:color w:val="auto"/>
          <w:sz w:val="22"/>
          <w:szCs w:val="22"/>
          <w:lang w:val="en-CA"/>
        </w:rPr>
        <w:t>’</w:t>
      </w:r>
      <w:r w:rsidRPr="001546A8">
        <w:rPr>
          <w:rFonts w:ascii="Arial" w:eastAsia="Arial" w:hAnsi="Arial" w:cs="Arial"/>
          <w:color w:val="auto"/>
          <w:sz w:val="22"/>
          <w:szCs w:val="22"/>
          <w:lang w:val="en-CA"/>
        </w:rPr>
        <w:t xml:space="preserve"> letter themes addressing student context</w:t>
      </w:r>
    </w:p>
    <w:p w14:paraId="546DA4F0" w14:textId="77777777" w:rsidR="001D7EAE" w:rsidRPr="005104B6" w:rsidRDefault="001D7EAE" w:rsidP="001D7EAE">
      <w:pPr>
        <w:rPr>
          <w:lang w:val="en-CA"/>
        </w:rPr>
      </w:pPr>
    </w:p>
    <w:tbl>
      <w:tblPr>
        <w:tblW w:w="5000" w:type="pct"/>
        <w:tblBorders>
          <w:top w:val="single" w:sz="4" w:space="0" w:color="auto"/>
          <w:bottom w:val="single" w:sz="4" w:space="0" w:color="auto"/>
        </w:tblBorders>
        <w:tblLook w:val="04A0" w:firstRow="1" w:lastRow="0" w:firstColumn="1" w:lastColumn="0" w:noHBand="0" w:noVBand="1"/>
        <w:tblDescription w:val="Table showing 'it's not me it's you' letter themes addressing student context. "/>
      </w:tblPr>
      <w:tblGrid>
        <w:gridCol w:w="2887"/>
        <w:gridCol w:w="4532"/>
        <w:gridCol w:w="1929"/>
      </w:tblGrid>
      <w:tr w:rsidR="001D7EAE" w:rsidRPr="006D1534" w14:paraId="515BA652" w14:textId="77777777" w:rsidTr="001546A8">
        <w:tc>
          <w:tcPr>
            <w:tcW w:w="1544" w:type="pct"/>
            <w:tcBorders>
              <w:top w:val="single" w:sz="4" w:space="0" w:color="auto"/>
              <w:bottom w:val="single" w:sz="4" w:space="0" w:color="auto"/>
            </w:tcBorders>
            <w:shd w:val="clear" w:color="auto" w:fill="F2F2F2"/>
          </w:tcPr>
          <w:p w14:paraId="0D5D7A4F" w14:textId="77777777" w:rsidR="001D7EAE" w:rsidRPr="006D1534" w:rsidRDefault="001D7EAE" w:rsidP="001546A8">
            <w:pPr>
              <w:spacing w:beforeLines="40" w:before="96" w:line="240" w:lineRule="auto"/>
              <w:rPr>
                <w:lang w:val="en-CA"/>
              </w:rPr>
            </w:pPr>
            <w:r w:rsidRPr="006D1534">
              <w:rPr>
                <w:lang w:val="en-CA"/>
              </w:rPr>
              <w:t>Theme and code</w:t>
            </w:r>
          </w:p>
        </w:tc>
        <w:tc>
          <w:tcPr>
            <w:tcW w:w="2424" w:type="pct"/>
            <w:tcBorders>
              <w:top w:val="single" w:sz="4" w:space="0" w:color="auto"/>
              <w:bottom w:val="single" w:sz="4" w:space="0" w:color="auto"/>
            </w:tcBorders>
            <w:shd w:val="clear" w:color="auto" w:fill="F2F2F2"/>
          </w:tcPr>
          <w:p w14:paraId="5629EA7C" w14:textId="77777777" w:rsidR="001D7EAE" w:rsidRPr="006D1534" w:rsidRDefault="001D7EAE" w:rsidP="001546A8">
            <w:pPr>
              <w:spacing w:beforeLines="40" w:before="96" w:line="240" w:lineRule="auto"/>
              <w:rPr>
                <w:lang w:val="en-CA"/>
              </w:rPr>
            </w:pPr>
            <w:r w:rsidRPr="006D1534">
              <w:rPr>
                <w:lang w:val="en-CA"/>
              </w:rPr>
              <w:t>Example quote</w:t>
            </w:r>
          </w:p>
        </w:tc>
        <w:tc>
          <w:tcPr>
            <w:tcW w:w="1032" w:type="pct"/>
            <w:tcBorders>
              <w:top w:val="single" w:sz="4" w:space="0" w:color="auto"/>
              <w:bottom w:val="single" w:sz="4" w:space="0" w:color="auto"/>
            </w:tcBorders>
            <w:shd w:val="clear" w:color="auto" w:fill="F2F2F2"/>
          </w:tcPr>
          <w:p w14:paraId="21158352" w14:textId="77777777" w:rsidR="001D7EAE" w:rsidRPr="006D1534" w:rsidRDefault="001D7EAE" w:rsidP="001546A8">
            <w:pPr>
              <w:spacing w:beforeLines="40" w:before="96" w:after="40" w:line="240" w:lineRule="auto"/>
              <w:rPr>
                <w:lang w:val="en-CA"/>
              </w:rPr>
            </w:pPr>
            <w:r w:rsidRPr="006D1534">
              <w:rPr>
                <w:lang w:val="en-CA"/>
              </w:rPr>
              <w:t xml:space="preserve"> No. of excerpts (No. of letters)</w:t>
            </w:r>
            <w:r w:rsidRPr="006D1534">
              <w:rPr>
                <w:vertAlign w:val="superscript"/>
                <w:lang w:val="en-CA"/>
              </w:rPr>
              <w:t>a</w:t>
            </w:r>
          </w:p>
        </w:tc>
      </w:tr>
      <w:tr w:rsidR="001D7EAE" w:rsidRPr="006D1534" w14:paraId="77AFC1CB" w14:textId="77777777" w:rsidTr="001546A8">
        <w:tc>
          <w:tcPr>
            <w:tcW w:w="5000" w:type="pct"/>
            <w:gridSpan w:val="3"/>
            <w:tcBorders>
              <w:top w:val="single" w:sz="4" w:space="0" w:color="auto"/>
            </w:tcBorders>
            <w:shd w:val="clear" w:color="auto" w:fill="auto"/>
          </w:tcPr>
          <w:p w14:paraId="44088735" w14:textId="77777777" w:rsidR="001D7EAE" w:rsidRPr="006D1534" w:rsidRDefault="001D7EAE" w:rsidP="001546A8">
            <w:pPr>
              <w:spacing w:beforeLines="40" w:before="96" w:line="240" w:lineRule="auto"/>
              <w:rPr>
                <w:lang w:val="en-CA"/>
              </w:rPr>
            </w:pPr>
            <w:r w:rsidRPr="006D1534">
              <w:rPr>
                <w:lang w:val="en-CA"/>
              </w:rPr>
              <w:t>Intention to use again</w:t>
            </w:r>
          </w:p>
          <w:p w14:paraId="1637D9EB" w14:textId="77777777" w:rsidR="001D7EAE" w:rsidRPr="006D1534" w:rsidRDefault="001D7EAE" w:rsidP="001546A8">
            <w:pPr>
              <w:spacing w:beforeLines="40" w:before="96" w:line="240" w:lineRule="auto"/>
              <w:rPr>
                <w:lang w:val="en-CA"/>
              </w:rPr>
            </w:pPr>
          </w:p>
        </w:tc>
      </w:tr>
      <w:tr w:rsidR="001D7EAE" w:rsidRPr="006D1534" w14:paraId="14D4B878" w14:textId="77777777" w:rsidTr="001546A8">
        <w:tc>
          <w:tcPr>
            <w:tcW w:w="1544" w:type="pct"/>
            <w:tcBorders>
              <w:top w:val="single" w:sz="4" w:space="0" w:color="BFBFBF"/>
              <w:bottom w:val="single" w:sz="4" w:space="0" w:color="BFBFBF"/>
            </w:tcBorders>
            <w:shd w:val="clear" w:color="auto" w:fill="auto"/>
          </w:tcPr>
          <w:p w14:paraId="2CAA7625" w14:textId="77777777" w:rsidR="001D7EAE" w:rsidRPr="006D1534" w:rsidRDefault="001D7EAE" w:rsidP="001546A8">
            <w:pPr>
              <w:spacing w:beforeLines="40" w:before="96" w:line="240" w:lineRule="auto"/>
              <w:ind w:left="430"/>
              <w:rPr>
                <w:lang w:val="en-CA"/>
              </w:rPr>
            </w:pPr>
            <w:r w:rsidRPr="006D1534">
              <w:rPr>
                <w:lang w:val="en-CA"/>
              </w:rPr>
              <w:t>Will use (definite or vague promise to use in future)</w:t>
            </w:r>
          </w:p>
        </w:tc>
        <w:tc>
          <w:tcPr>
            <w:tcW w:w="2424" w:type="pct"/>
            <w:tcBorders>
              <w:top w:val="single" w:sz="4" w:space="0" w:color="BFBFBF"/>
              <w:bottom w:val="single" w:sz="4" w:space="0" w:color="BFBFBF"/>
            </w:tcBorders>
            <w:shd w:val="clear" w:color="auto" w:fill="auto"/>
          </w:tcPr>
          <w:p w14:paraId="22832469" w14:textId="0946886E" w:rsidR="001D7EAE" w:rsidRPr="006D1534" w:rsidRDefault="00292183" w:rsidP="001546A8">
            <w:pPr>
              <w:spacing w:beforeLines="40" w:before="96" w:line="240" w:lineRule="auto"/>
              <w:rPr>
                <w:lang w:val="en-CA"/>
              </w:rPr>
            </w:pPr>
            <w:r>
              <w:rPr>
                <w:lang w:val="en-CA"/>
              </w:rPr>
              <w:t>‘</w:t>
            </w:r>
            <w:r w:rsidR="001D7EAE" w:rsidRPr="006D1534">
              <w:rPr>
                <w:i/>
                <w:lang w:val="en-CA"/>
              </w:rPr>
              <w:t xml:space="preserve">Maybe later in my time at </w:t>
            </w:r>
            <w:r w:rsidR="001D7EAE">
              <w:rPr>
                <w:i/>
                <w:lang w:val="en-CA"/>
              </w:rPr>
              <w:t>Concordia</w:t>
            </w:r>
            <w:r w:rsidR="001D7EAE" w:rsidRPr="006D1534">
              <w:rPr>
                <w:i/>
                <w:lang w:val="en-CA"/>
              </w:rPr>
              <w:t xml:space="preserve"> I will come visit you again when I'm lost or unsure</w:t>
            </w:r>
            <w:r>
              <w:rPr>
                <w:lang w:val="en-CA"/>
              </w:rPr>
              <w:t>’</w:t>
            </w:r>
            <w:r w:rsidR="001D7EAE" w:rsidRPr="006D1534">
              <w:rPr>
                <w:lang w:val="en-CA"/>
              </w:rPr>
              <w:t xml:space="preserve"> (Student #12)</w:t>
            </w:r>
          </w:p>
          <w:p w14:paraId="1C18A81D" w14:textId="77777777" w:rsidR="001D7EAE" w:rsidRPr="006D1534" w:rsidRDefault="001D7EAE" w:rsidP="001546A8">
            <w:pPr>
              <w:spacing w:beforeLines="40" w:before="96" w:line="240" w:lineRule="auto"/>
              <w:rPr>
                <w:lang w:val="en-CA"/>
              </w:rPr>
            </w:pPr>
          </w:p>
        </w:tc>
        <w:tc>
          <w:tcPr>
            <w:tcW w:w="1032" w:type="pct"/>
            <w:tcBorders>
              <w:top w:val="single" w:sz="4" w:space="0" w:color="BFBFBF"/>
              <w:bottom w:val="single" w:sz="4" w:space="0" w:color="BFBFBF"/>
            </w:tcBorders>
            <w:shd w:val="clear" w:color="auto" w:fill="auto"/>
          </w:tcPr>
          <w:p w14:paraId="78F61D73" w14:textId="77777777" w:rsidR="001D7EAE" w:rsidRPr="006D1534" w:rsidRDefault="001D7EAE" w:rsidP="001546A8">
            <w:pPr>
              <w:spacing w:beforeLines="40" w:before="96" w:line="240" w:lineRule="auto"/>
              <w:rPr>
                <w:lang w:val="en-CA"/>
              </w:rPr>
            </w:pPr>
            <w:r w:rsidRPr="006D1534">
              <w:rPr>
                <w:lang w:val="en-CA"/>
              </w:rPr>
              <w:t>18 (4B, 5L, 5N, 1O)</w:t>
            </w:r>
          </w:p>
        </w:tc>
      </w:tr>
      <w:tr w:rsidR="001D7EAE" w:rsidRPr="006D1534" w14:paraId="49E30000" w14:textId="77777777" w:rsidTr="001546A8">
        <w:tc>
          <w:tcPr>
            <w:tcW w:w="1544" w:type="pct"/>
            <w:tcBorders>
              <w:top w:val="single" w:sz="4" w:space="0" w:color="BFBFBF"/>
              <w:bottom w:val="single" w:sz="4" w:space="0" w:color="auto"/>
            </w:tcBorders>
            <w:shd w:val="clear" w:color="auto" w:fill="auto"/>
          </w:tcPr>
          <w:p w14:paraId="3FB59874" w14:textId="77777777" w:rsidR="001D7EAE" w:rsidRPr="006D1534" w:rsidRDefault="001D7EAE" w:rsidP="001546A8">
            <w:pPr>
              <w:spacing w:beforeLines="40" w:before="96" w:line="240" w:lineRule="auto"/>
              <w:ind w:left="430"/>
              <w:rPr>
                <w:lang w:val="en-CA"/>
              </w:rPr>
            </w:pPr>
            <w:r w:rsidRPr="006D1534">
              <w:rPr>
                <w:lang w:val="en-CA"/>
              </w:rPr>
              <w:t>Will not use (better suited for someone else, good to get started)</w:t>
            </w:r>
          </w:p>
        </w:tc>
        <w:tc>
          <w:tcPr>
            <w:tcW w:w="2424" w:type="pct"/>
            <w:tcBorders>
              <w:top w:val="single" w:sz="4" w:space="0" w:color="BFBFBF"/>
              <w:bottom w:val="single" w:sz="4" w:space="0" w:color="auto"/>
            </w:tcBorders>
            <w:shd w:val="clear" w:color="auto" w:fill="auto"/>
          </w:tcPr>
          <w:p w14:paraId="34A67135" w14:textId="30EB8C96" w:rsidR="001D7EAE" w:rsidRPr="006D1534" w:rsidRDefault="00292183" w:rsidP="001546A8">
            <w:pPr>
              <w:spacing w:beforeLines="40" w:before="96" w:line="240" w:lineRule="auto"/>
              <w:rPr>
                <w:lang w:val="en-CA"/>
              </w:rPr>
            </w:pPr>
            <w:r>
              <w:rPr>
                <w:lang w:val="en-CA"/>
              </w:rPr>
              <w:t>‘</w:t>
            </w:r>
            <w:r w:rsidR="001D7EAE" w:rsidRPr="006D1534">
              <w:rPr>
                <w:i/>
                <w:lang w:val="en-CA"/>
              </w:rPr>
              <w:t>We would have been good together a few years ago when I was young and didn't know what I was doing</w:t>
            </w:r>
            <w:r>
              <w:rPr>
                <w:lang w:val="en-CA"/>
              </w:rPr>
              <w:t>’</w:t>
            </w:r>
            <w:r w:rsidR="001D7EAE" w:rsidRPr="006D1534">
              <w:rPr>
                <w:lang w:val="en-CA"/>
              </w:rPr>
              <w:t xml:space="preserve"> (Student #14)</w:t>
            </w:r>
          </w:p>
          <w:p w14:paraId="7051DAA3" w14:textId="77777777" w:rsidR="001D7EAE" w:rsidRPr="006D1534" w:rsidRDefault="001D7EAE" w:rsidP="001546A8">
            <w:pPr>
              <w:spacing w:beforeLines="40" w:before="96" w:line="240" w:lineRule="auto"/>
              <w:rPr>
                <w:lang w:val="en-CA"/>
              </w:rPr>
            </w:pPr>
          </w:p>
        </w:tc>
        <w:tc>
          <w:tcPr>
            <w:tcW w:w="1032" w:type="pct"/>
            <w:tcBorders>
              <w:top w:val="single" w:sz="4" w:space="0" w:color="BFBFBF"/>
              <w:bottom w:val="single" w:sz="4" w:space="0" w:color="auto"/>
            </w:tcBorders>
            <w:shd w:val="clear" w:color="auto" w:fill="auto"/>
          </w:tcPr>
          <w:p w14:paraId="0F3D9DFF" w14:textId="77777777" w:rsidR="001D7EAE" w:rsidRPr="006D1534" w:rsidRDefault="001D7EAE" w:rsidP="001546A8">
            <w:pPr>
              <w:spacing w:beforeLines="40" w:before="96" w:line="240" w:lineRule="auto"/>
              <w:rPr>
                <w:lang w:val="en-CA"/>
              </w:rPr>
            </w:pPr>
            <w:r w:rsidRPr="006D1534">
              <w:rPr>
                <w:color w:val="000000"/>
                <w:lang w:val="en-CA"/>
              </w:rPr>
              <w:t>17 (10B, 1N, 1O)</w:t>
            </w:r>
          </w:p>
        </w:tc>
      </w:tr>
      <w:tr w:rsidR="001D7EAE" w:rsidRPr="006D1534" w14:paraId="09B7860C" w14:textId="77777777" w:rsidTr="001546A8">
        <w:tc>
          <w:tcPr>
            <w:tcW w:w="5000" w:type="pct"/>
            <w:gridSpan w:val="3"/>
            <w:tcBorders>
              <w:top w:val="single" w:sz="4" w:space="0" w:color="auto"/>
              <w:bottom w:val="single" w:sz="4" w:space="0" w:color="BFBFBF"/>
            </w:tcBorders>
            <w:shd w:val="clear" w:color="auto" w:fill="auto"/>
          </w:tcPr>
          <w:p w14:paraId="2483DAF7" w14:textId="77777777" w:rsidR="001D7EAE" w:rsidRPr="006D1534" w:rsidRDefault="001D7EAE" w:rsidP="001546A8">
            <w:pPr>
              <w:spacing w:beforeLines="40" w:before="96" w:line="240" w:lineRule="auto"/>
              <w:rPr>
                <w:lang w:val="en-CA"/>
              </w:rPr>
            </w:pPr>
            <w:r w:rsidRPr="006D1534">
              <w:rPr>
                <w:lang w:val="en-CA"/>
              </w:rPr>
              <w:t>Attitude towards library research</w:t>
            </w:r>
          </w:p>
          <w:p w14:paraId="7173FCD6" w14:textId="77777777" w:rsidR="001D7EAE" w:rsidRPr="006D1534" w:rsidRDefault="001D7EAE" w:rsidP="001546A8">
            <w:pPr>
              <w:spacing w:beforeLines="40" w:before="96" w:line="240" w:lineRule="auto"/>
              <w:rPr>
                <w:color w:val="000000"/>
                <w:lang w:val="en-CA"/>
              </w:rPr>
            </w:pPr>
          </w:p>
        </w:tc>
      </w:tr>
      <w:tr w:rsidR="001D7EAE" w:rsidRPr="006D1534" w14:paraId="496586E4" w14:textId="77777777" w:rsidTr="001546A8">
        <w:tc>
          <w:tcPr>
            <w:tcW w:w="1544" w:type="pct"/>
            <w:tcBorders>
              <w:top w:val="single" w:sz="4" w:space="0" w:color="BFBFBF"/>
              <w:bottom w:val="single" w:sz="4" w:space="0" w:color="BFBFBF"/>
            </w:tcBorders>
            <w:shd w:val="clear" w:color="auto" w:fill="auto"/>
          </w:tcPr>
          <w:p w14:paraId="609E27D7" w14:textId="77777777" w:rsidR="001D7EAE" w:rsidRPr="006D1534" w:rsidRDefault="001D7EAE" w:rsidP="001546A8">
            <w:pPr>
              <w:spacing w:beforeLines="40" w:before="96" w:line="240" w:lineRule="auto"/>
              <w:ind w:left="430"/>
              <w:rPr>
                <w:lang w:val="en-CA"/>
              </w:rPr>
            </w:pPr>
            <w:r w:rsidRPr="006D1534">
              <w:rPr>
                <w:lang w:val="en-CA"/>
              </w:rPr>
              <w:lastRenderedPageBreak/>
              <w:t>Interest (indifferent, only used because was asked to)</w:t>
            </w:r>
          </w:p>
        </w:tc>
        <w:tc>
          <w:tcPr>
            <w:tcW w:w="2424" w:type="pct"/>
            <w:tcBorders>
              <w:top w:val="single" w:sz="4" w:space="0" w:color="BFBFBF"/>
              <w:bottom w:val="single" w:sz="4" w:space="0" w:color="BFBFBF"/>
            </w:tcBorders>
            <w:shd w:val="clear" w:color="auto" w:fill="auto"/>
          </w:tcPr>
          <w:p w14:paraId="2E6B46C3" w14:textId="25032D98" w:rsidR="001D7EAE" w:rsidRPr="006D1534" w:rsidRDefault="00292183" w:rsidP="001546A8">
            <w:pPr>
              <w:spacing w:beforeLines="40" w:before="96" w:after="40" w:line="240" w:lineRule="auto"/>
              <w:rPr>
                <w:lang w:val="en-CA"/>
              </w:rPr>
            </w:pPr>
            <w:r>
              <w:rPr>
                <w:lang w:val="en-CA"/>
              </w:rPr>
              <w:t>‘</w:t>
            </w:r>
            <w:r w:rsidR="001D7EAE" w:rsidRPr="006D1534">
              <w:rPr>
                <w:i/>
                <w:lang w:val="en-CA"/>
              </w:rPr>
              <w:t>I'm just not that into you, our time together consisting of too much indifference on my behalf</w:t>
            </w:r>
            <w:r>
              <w:rPr>
                <w:lang w:val="en-CA"/>
              </w:rPr>
              <w:t>’</w:t>
            </w:r>
            <w:r w:rsidR="001D7EAE" w:rsidRPr="006D1534">
              <w:rPr>
                <w:lang w:val="en-CA"/>
              </w:rPr>
              <w:t xml:space="preserve"> (Student #22)</w:t>
            </w:r>
          </w:p>
          <w:p w14:paraId="648670A4" w14:textId="77777777" w:rsidR="001D7EAE" w:rsidRPr="006D1534" w:rsidRDefault="001D7EAE" w:rsidP="001546A8">
            <w:pPr>
              <w:spacing w:beforeLines="40" w:before="96" w:line="240" w:lineRule="auto"/>
              <w:rPr>
                <w:lang w:val="en-CA"/>
              </w:rPr>
            </w:pPr>
          </w:p>
        </w:tc>
        <w:tc>
          <w:tcPr>
            <w:tcW w:w="1032" w:type="pct"/>
            <w:tcBorders>
              <w:top w:val="single" w:sz="4" w:space="0" w:color="BFBFBF"/>
              <w:bottom w:val="single" w:sz="4" w:space="0" w:color="BFBFBF"/>
            </w:tcBorders>
            <w:shd w:val="clear" w:color="auto" w:fill="auto"/>
          </w:tcPr>
          <w:p w14:paraId="149C4090" w14:textId="77777777" w:rsidR="001D7EAE" w:rsidRPr="006D1534" w:rsidRDefault="001D7EAE" w:rsidP="001546A8">
            <w:pPr>
              <w:spacing w:beforeLines="40" w:before="96" w:line="240" w:lineRule="auto"/>
              <w:rPr>
                <w:lang w:val="en-CA"/>
              </w:rPr>
            </w:pPr>
            <w:r w:rsidRPr="006D1534">
              <w:rPr>
                <w:lang w:val="en-CA"/>
              </w:rPr>
              <w:t>7 (5B, 1L, 1N)</w:t>
            </w:r>
          </w:p>
        </w:tc>
      </w:tr>
      <w:tr w:rsidR="001D7EAE" w:rsidRPr="006D1534" w14:paraId="1093F724" w14:textId="77777777" w:rsidTr="001546A8">
        <w:tc>
          <w:tcPr>
            <w:tcW w:w="1544" w:type="pct"/>
            <w:tcBorders>
              <w:top w:val="single" w:sz="4" w:space="0" w:color="BFBFBF"/>
              <w:bottom w:val="single" w:sz="4" w:space="0" w:color="BFBFBF"/>
            </w:tcBorders>
            <w:shd w:val="clear" w:color="auto" w:fill="auto"/>
          </w:tcPr>
          <w:p w14:paraId="56F4A39B" w14:textId="77777777" w:rsidR="001D7EAE" w:rsidRPr="006D1534" w:rsidRDefault="001D7EAE" w:rsidP="001546A8">
            <w:pPr>
              <w:spacing w:beforeLines="40" w:before="96" w:line="240" w:lineRule="auto"/>
              <w:ind w:left="430"/>
              <w:rPr>
                <w:lang w:val="en-CA"/>
              </w:rPr>
            </w:pPr>
            <w:r w:rsidRPr="006D1534">
              <w:rPr>
                <w:lang w:val="en-CA"/>
              </w:rPr>
              <w:t>Expectations (apprehensiveness, worth initial effort of figuring it out, needed help)</w:t>
            </w:r>
          </w:p>
          <w:p w14:paraId="023555CB" w14:textId="77777777" w:rsidR="001D7EAE" w:rsidRPr="006D1534" w:rsidRDefault="001D7EAE" w:rsidP="001546A8">
            <w:pPr>
              <w:spacing w:beforeLines="40" w:before="96" w:line="240" w:lineRule="auto"/>
              <w:ind w:left="432"/>
              <w:rPr>
                <w:lang w:val="en-CA"/>
              </w:rPr>
            </w:pPr>
          </w:p>
        </w:tc>
        <w:tc>
          <w:tcPr>
            <w:tcW w:w="2424" w:type="pct"/>
            <w:tcBorders>
              <w:top w:val="single" w:sz="4" w:space="0" w:color="BFBFBF"/>
              <w:bottom w:val="single" w:sz="4" w:space="0" w:color="BFBFBF"/>
            </w:tcBorders>
            <w:shd w:val="clear" w:color="auto" w:fill="auto"/>
          </w:tcPr>
          <w:p w14:paraId="5328F01D" w14:textId="7F3FD1D1" w:rsidR="001D7EAE" w:rsidRPr="006D1534" w:rsidRDefault="00292183" w:rsidP="001546A8">
            <w:pPr>
              <w:spacing w:beforeLines="40" w:before="96" w:line="240" w:lineRule="auto"/>
              <w:rPr>
                <w:lang w:val="en-CA"/>
              </w:rPr>
            </w:pPr>
            <w:r>
              <w:rPr>
                <w:lang w:val="en-CA"/>
              </w:rPr>
              <w:t>‘</w:t>
            </w:r>
            <w:r w:rsidR="001D7EAE" w:rsidRPr="006D1534">
              <w:rPr>
                <w:i/>
                <w:lang w:val="en-CA"/>
              </w:rPr>
              <w:t>I have trust issues using someone new (…) I am not used to new relationships and tend to stick to my old ways</w:t>
            </w:r>
            <w:r>
              <w:rPr>
                <w:lang w:val="en-CA"/>
              </w:rPr>
              <w:t>’</w:t>
            </w:r>
            <w:r w:rsidR="001D7EAE" w:rsidRPr="006D1534">
              <w:rPr>
                <w:lang w:val="en-CA"/>
              </w:rPr>
              <w:t xml:space="preserve"> (Student #8)</w:t>
            </w:r>
          </w:p>
        </w:tc>
        <w:tc>
          <w:tcPr>
            <w:tcW w:w="1032" w:type="pct"/>
            <w:tcBorders>
              <w:top w:val="single" w:sz="4" w:space="0" w:color="BFBFBF"/>
              <w:bottom w:val="single" w:sz="4" w:space="0" w:color="BFBFBF"/>
            </w:tcBorders>
            <w:shd w:val="clear" w:color="auto" w:fill="auto"/>
          </w:tcPr>
          <w:p w14:paraId="6490582F" w14:textId="77777777" w:rsidR="001D7EAE" w:rsidRPr="006D1534" w:rsidRDefault="001D7EAE" w:rsidP="001546A8">
            <w:pPr>
              <w:spacing w:beforeLines="40" w:before="96" w:line="240" w:lineRule="auto"/>
              <w:rPr>
                <w:lang w:val="en-CA"/>
              </w:rPr>
            </w:pPr>
            <w:r w:rsidRPr="006D1534">
              <w:rPr>
                <w:lang w:val="en-CA"/>
              </w:rPr>
              <w:t>10 (1B, 1L, 2N, 2O)</w:t>
            </w:r>
          </w:p>
        </w:tc>
      </w:tr>
      <w:tr w:rsidR="001D7EAE" w:rsidRPr="006D1534" w14:paraId="5956CAE4" w14:textId="77777777" w:rsidTr="001546A8">
        <w:tc>
          <w:tcPr>
            <w:tcW w:w="1544" w:type="pct"/>
            <w:tcBorders>
              <w:top w:val="single" w:sz="4" w:space="0" w:color="BFBFBF"/>
              <w:bottom w:val="single" w:sz="4" w:space="0" w:color="auto"/>
            </w:tcBorders>
            <w:shd w:val="clear" w:color="auto" w:fill="auto"/>
          </w:tcPr>
          <w:p w14:paraId="177CE16B" w14:textId="77777777" w:rsidR="001D7EAE" w:rsidRPr="006D1534" w:rsidRDefault="001D7EAE" w:rsidP="001546A8">
            <w:pPr>
              <w:spacing w:beforeLines="40" w:before="96" w:line="240" w:lineRule="auto"/>
              <w:ind w:left="430"/>
              <w:rPr>
                <w:lang w:val="en-CA"/>
              </w:rPr>
            </w:pPr>
            <w:r w:rsidRPr="006D1534">
              <w:rPr>
                <w:lang w:val="en-CA"/>
              </w:rPr>
              <w:t>Confidence (mature, know how to do research)</w:t>
            </w:r>
          </w:p>
        </w:tc>
        <w:tc>
          <w:tcPr>
            <w:tcW w:w="2424" w:type="pct"/>
            <w:tcBorders>
              <w:top w:val="single" w:sz="4" w:space="0" w:color="BFBFBF"/>
              <w:bottom w:val="single" w:sz="4" w:space="0" w:color="auto"/>
            </w:tcBorders>
            <w:shd w:val="clear" w:color="auto" w:fill="auto"/>
          </w:tcPr>
          <w:p w14:paraId="2CE08855" w14:textId="13F77241" w:rsidR="001D7EAE" w:rsidRPr="006D1534" w:rsidRDefault="00292183" w:rsidP="001546A8">
            <w:pPr>
              <w:spacing w:beforeLines="40" w:before="96" w:line="240" w:lineRule="auto"/>
              <w:rPr>
                <w:lang w:val="en-CA"/>
              </w:rPr>
            </w:pPr>
            <w:r>
              <w:rPr>
                <w:lang w:val="en-CA"/>
              </w:rPr>
              <w:t>‘</w:t>
            </w:r>
            <w:r w:rsidR="001D7EAE" w:rsidRPr="006D1534">
              <w:rPr>
                <w:i/>
                <w:lang w:val="en-CA"/>
              </w:rPr>
              <w:t>If I have made it to university it’s because this isn't the first paper I write</w:t>
            </w:r>
            <w:r>
              <w:rPr>
                <w:lang w:val="en-CA"/>
              </w:rPr>
              <w:t>’</w:t>
            </w:r>
            <w:r w:rsidR="001D7EAE" w:rsidRPr="006D1534">
              <w:rPr>
                <w:lang w:val="en-CA"/>
              </w:rPr>
              <w:t xml:space="preserve"> (Student #34)</w:t>
            </w:r>
          </w:p>
          <w:p w14:paraId="3CDB0324" w14:textId="77777777" w:rsidR="001D7EAE" w:rsidRPr="006D1534" w:rsidRDefault="001D7EAE" w:rsidP="001546A8">
            <w:pPr>
              <w:spacing w:beforeLines="40" w:before="96" w:line="240" w:lineRule="auto"/>
              <w:rPr>
                <w:lang w:val="en-CA"/>
              </w:rPr>
            </w:pPr>
          </w:p>
        </w:tc>
        <w:tc>
          <w:tcPr>
            <w:tcW w:w="1032" w:type="pct"/>
            <w:tcBorders>
              <w:top w:val="single" w:sz="4" w:space="0" w:color="BFBFBF"/>
              <w:bottom w:val="single" w:sz="4" w:space="0" w:color="auto"/>
            </w:tcBorders>
            <w:shd w:val="clear" w:color="auto" w:fill="auto"/>
          </w:tcPr>
          <w:p w14:paraId="391442E3" w14:textId="77777777" w:rsidR="001D7EAE" w:rsidRPr="006D1534" w:rsidRDefault="001D7EAE" w:rsidP="001546A8">
            <w:pPr>
              <w:spacing w:beforeLines="40" w:before="96" w:line="240" w:lineRule="auto"/>
              <w:rPr>
                <w:lang w:val="en-CA"/>
              </w:rPr>
            </w:pPr>
            <w:r w:rsidRPr="006D1534">
              <w:rPr>
                <w:lang w:val="en-CA"/>
              </w:rPr>
              <w:t>19 (11B, 2N)</w:t>
            </w:r>
          </w:p>
        </w:tc>
      </w:tr>
      <w:tr w:rsidR="001D7EAE" w:rsidRPr="006D1534" w14:paraId="0FCA50FB" w14:textId="77777777" w:rsidTr="001546A8">
        <w:tc>
          <w:tcPr>
            <w:tcW w:w="5000" w:type="pct"/>
            <w:gridSpan w:val="3"/>
            <w:tcBorders>
              <w:top w:val="single" w:sz="4" w:space="0" w:color="auto"/>
              <w:bottom w:val="nil"/>
            </w:tcBorders>
            <w:shd w:val="clear" w:color="auto" w:fill="auto"/>
          </w:tcPr>
          <w:p w14:paraId="71B27128" w14:textId="77777777" w:rsidR="001D7EAE" w:rsidRPr="006D1534" w:rsidRDefault="001D7EAE" w:rsidP="001546A8">
            <w:pPr>
              <w:spacing w:beforeLines="40" w:before="96" w:line="240" w:lineRule="auto"/>
              <w:rPr>
                <w:lang w:val="en-CA"/>
              </w:rPr>
            </w:pPr>
            <w:r w:rsidRPr="006D1534">
              <w:rPr>
                <w:lang w:val="en-CA"/>
              </w:rPr>
              <w:t>Learning / searching style or preference</w:t>
            </w:r>
          </w:p>
          <w:p w14:paraId="65ABEDAF" w14:textId="77777777" w:rsidR="001D7EAE" w:rsidRPr="006D1534" w:rsidRDefault="001D7EAE" w:rsidP="001546A8">
            <w:pPr>
              <w:spacing w:beforeLines="40" w:before="96" w:line="240" w:lineRule="auto"/>
              <w:rPr>
                <w:lang w:val="en-CA"/>
              </w:rPr>
            </w:pPr>
          </w:p>
        </w:tc>
      </w:tr>
      <w:tr w:rsidR="001D7EAE" w:rsidRPr="006D1534" w14:paraId="1120758F" w14:textId="77777777" w:rsidTr="001546A8">
        <w:tc>
          <w:tcPr>
            <w:tcW w:w="1544" w:type="pct"/>
            <w:tcBorders>
              <w:top w:val="single" w:sz="4" w:space="0" w:color="BFBFBF"/>
              <w:bottom w:val="single" w:sz="4" w:space="0" w:color="BFBFBF"/>
            </w:tcBorders>
            <w:shd w:val="clear" w:color="auto" w:fill="auto"/>
          </w:tcPr>
          <w:p w14:paraId="5F917111" w14:textId="77777777" w:rsidR="001D7EAE" w:rsidRPr="006D1534" w:rsidRDefault="001D7EAE" w:rsidP="001546A8">
            <w:pPr>
              <w:spacing w:beforeLines="40" w:before="96" w:line="240" w:lineRule="auto"/>
              <w:ind w:left="430"/>
              <w:rPr>
                <w:lang w:val="en-CA"/>
              </w:rPr>
            </w:pPr>
            <w:r w:rsidRPr="006D1534">
              <w:rPr>
                <w:lang w:val="en-CA"/>
              </w:rPr>
              <w:t>Prefer other sources, tools, or doing it on my own</w:t>
            </w:r>
          </w:p>
        </w:tc>
        <w:tc>
          <w:tcPr>
            <w:tcW w:w="2424" w:type="pct"/>
            <w:tcBorders>
              <w:top w:val="single" w:sz="4" w:space="0" w:color="BFBFBF"/>
              <w:bottom w:val="single" w:sz="4" w:space="0" w:color="BFBFBF"/>
            </w:tcBorders>
            <w:shd w:val="clear" w:color="auto" w:fill="auto"/>
          </w:tcPr>
          <w:p w14:paraId="69AB88BE" w14:textId="2AA8205C" w:rsidR="001D7EAE" w:rsidRPr="006D1534" w:rsidRDefault="00292183" w:rsidP="001546A8">
            <w:pPr>
              <w:spacing w:beforeLines="40" w:before="96" w:line="240" w:lineRule="auto"/>
              <w:rPr>
                <w:lang w:val="en-CA"/>
              </w:rPr>
            </w:pPr>
            <w:r>
              <w:rPr>
                <w:lang w:val="en-CA"/>
              </w:rPr>
              <w:t>‘</w:t>
            </w:r>
            <w:r w:rsidR="001D7EAE" w:rsidRPr="006D1534">
              <w:rPr>
                <w:i/>
                <w:lang w:val="en-CA"/>
              </w:rPr>
              <w:t>we didn't and still don't have the connection like I have with Miss Google</w:t>
            </w:r>
            <w:r>
              <w:rPr>
                <w:lang w:val="en-CA"/>
              </w:rPr>
              <w:t>’</w:t>
            </w:r>
            <w:r w:rsidR="001D7EAE" w:rsidRPr="006D1534">
              <w:rPr>
                <w:lang w:val="en-CA"/>
              </w:rPr>
              <w:t xml:space="preserve"> (Student #10)</w:t>
            </w:r>
          </w:p>
          <w:p w14:paraId="74A9CC9E" w14:textId="77777777" w:rsidR="001D7EAE" w:rsidRPr="006D1534" w:rsidRDefault="001D7EAE" w:rsidP="001546A8">
            <w:pPr>
              <w:spacing w:beforeLines="40" w:before="96" w:line="240" w:lineRule="auto"/>
              <w:rPr>
                <w:lang w:val="en-CA"/>
              </w:rPr>
            </w:pPr>
          </w:p>
        </w:tc>
        <w:tc>
          <w:tcPr>
            <w:tcW w:w="1032" w:type="pct"/>
            <w:tcBorders>
              <w:top w:val="single" w:sz="4" w:space="0" w:color="BFBFBF"/>
              <w:bottom w:val="single" w:sz="4" w:space="0" w:color="BFBFBF"/>
            </w:tcBorders>
            <w:shd w:val="clear" w:color="auto" w:fill="auto"/>
          </w:tcPr>
          <w:p w14:paraId="311BC34F" w14:textId="77777777" w:rsidR="001D7EAE" w:rsidRPr="006D1534" w:rsidRDefault="001D7EAE" w:rsidP="001546A8">
            <w:pPr>
              <w:spacing w:beforeLines="40" w:before="96" w:line="240" w:lineRule="auto"/>
              <w:rPr>
                <w:lang w:val="en-CA"/>
              </w:rPr>
            </w:pPr>
            <w:r w:rsidRPr="006D1534">
              <w:rPr>
                <w:color w:val="000000"/>
                <w:lang w:val="en-CA"/>
              </w:rPr>
              <w:t>9 (6B, 2N) </w:t>
            </w:r>
          </w:p>
        </w:tc>
      </w:tr>
      <w:tr w:rsidR="001D7EAE" w:rsidRPr="006D1534" w14:paraId="65F00E37" w14:textId="77777777" w:rsidTr="001546A8">
        <w:tc>
          <w:tcPr>
            <w:tcW w:w="1544" w:type="pct"/>
            <w:tcBorders>
              <w:top w:val="single" w:sz="4" w:space="0" w:color="BFBFBF"/>
              <w:bottom w:val="single" w:sz="4" w:space="0" w:color="BFBFBF"/>
            </w:tcBorders>
            <w:shd w:val="clear" w:color="auto" w:fill="auto"/>
          </w:tcPr>
          <w:p w14:paraId="254AA9D8" w14:textId="77777777" w:rsidR="001D7EAE" w:rsidRPr="006D1534" w:rsidRDefault="001D7EAE" w:rsidP="001546A8">
            <w:pPr>
              <w:spacing w:beforeLines="40" w:before="96" w:line="240" w:lineRule="auto"/>
              <w:ind w:left="430"/>
              <w:rPr>
                <w:lang w:val="en-CA"/>
              </w:rPr>
            </w:pPr>
            <w:r w:rsidRPr="006D1534">
              <w:rPr>
                <w:lang w:val="en-CA"/>
              </w:rPr>
              <w:t>Learning with videos</w:t>
            </w:r>
          </w:p>
        </w:tc>
        <w:tc>
          <w:tcPr>
            <w:tcW w:w="2424" w:type="pct"/>
            <w:tcBorders>
              <w:top w:val="single" w:sz="4" w:space="0" w:color="BFBFBF"/>
              <w:bottom w:val="single" w:sz="4" w:space="0" w:color="BFBFBF"/>
            </w:tcBorders>
            <w:shd w:val="clear" w:color="auto" w:fill="auto"/>
          </w:tcPr>
          <w:p w14:paraId="3C629477" w14:textId="42A8350D" w:rsidR="001D7EAE" w:rsidRPr="006D1534" w:rsidRDefault="00292183" w:rsidP="001546A8">
            <w:pPr>
              <w:spacing w:beforeLines="40" w:before="96" w:line="240" w:lineRule="auto"/>
              <w:rPr>
                <w:lang w:val="en-CA"/>
              </w:rPr>
            </w:pPr>
            <w:r>
              <w:rPr>
                <w:lang w:val="en-CA"/>
              </w:rPr>
              <w:t>‘</w:t>
            </w:r>
            <w:r w:rsidR="001D7EAE" w:rsidRPr="006D1534">
              <w:rPr>
                <w:i/>
                <w:lang w:val="en-CA"/>
              </w:rPr>
              <w:t xml:space="preserve">When I first heard </w:t>
            </w:r>
            <w:r>
              <w:rPr>
                <w:i/>
                <w:lang w:val="en-CA"/>
              </w:rPr>
              <w:t>‘</w:t>
            </w:r>
            <w:r w:rsidR="001D7EAE" w:rsidRPr="006D1534">
              <w:rPr>
                <w:i/>
                <w:lang w:val="en-CA"/>
              </w:rPr>
              <w:t>Tutorial</w:t>
            </w:r>
            <w:r>
              <w:rPr>
                <w:i/>
                <w:lang w:val="en-CA"/>
              </w:rPr>
              <w:t>’</w:t>
            </w:r>
            <w:r w:rsidR="001D7EAE" w:rsidRPr="006D1534">
              <w:rPr>
                <w:i/>
                <w:lang w:val="en-CA"/>
              </w:rPr>
              <w:t>, I thought you would be a video, so I was pleased to discover you were not as I think your format fits better your purposes than a video would have</w:t>
            </w:r>
            <w:r>
              <w:rPr>
                <w:lang w:val="en-CA"/>
              </w:rPr>
              <w:t>’</w:t>
            </w:r>
            <w:r w:rsidR="001D7EAE" w:rsidRPr="006D1534">
              <w:rPr>
                <w:lang w:val="en-CA"/>
              </w:rPr>
              <w:t xml:space="preserve"> (Student #32)</w:t>
            </w:r>
          </w:p>
          <w:p w14:paraId="2CE680A2" w14:textId="77777777" w:rsidR="001D7EAE" w:rsidRPr="006D1534" w:rsidRDefault="001D7EAE" w:rsidP="001546A8">
            <w:pPr>
              <w:spacing w:beforeLines="40" w:before="96" w:line="240" w:lineRule="auto"/>
              <w:rPr>
                <w:lang w:val="en-CA"/>
              </w:rPr>
            </w:pPr>
          </w:p>
        </w:tc>
        <w:tc>
          <w:tcPr>
            <w:tcW w:w="1032" w:type="pct"/>
            <w:tcBorders>
              <w:top w:val="single" w:sz="4" w:space="0" w:color="BFBFBF"/>
              <w:bottom w:val="single" w:sz="4" w:space="0" w:color="BFBFBF"/>
            </w:tcBorders>
            <w:shd w:val="clear" w:color="auto" w:fill="auto"/>
          </w:tcPr>
          <w:p w14:paraId="21E193CE" w14:textId="77777777" w:rsidR="001D7EAE" w:rsidRPr="006D1534" w:rsidRDefault="001D7EAE" w:rsidP="001546A8">
            <w:pPr>
              <w:spacing w:beforeLines="40" w:before="96" w:line="240" w:lineRule="auto"/>
              <w:rPr>
                <w:lang w:val="en-CA"/>
              </w:rPr>
            </w:pPr>
            <w:r w:rsidRPr="006D1534">
              <w:rPr>
                <w:color w:val="000000"/>
                <w:lang w:val="en-CA"/>
              </w:rPr>
              <w:t>4 (2B, 2L)</w:t>
            </w:r>
          </w:p>
        </w:tc>
      </w:tr>
      <w:tr w:rsidR="001D7EAE" w:rsidRPr="006D1534" w14:paraId="71D8C0F5" w14:textId="77777777" w:rsidTr="001546A8">
        <w:tc>
          <w:tcPr>
            <w:tcW w:w="1544" w:type="pct"/>
            <w:tcBorders>
              <w:top w:val="single" w:sz="4" w:space="0" w:color="BFBFBF"/>
            </w:tcBorders>
            <w:shd w:val="clear" w:color="auto" w:fill="auto"/>
          </w:tcPr>
          <w:p w14:paraId="455E3FA7" w14:textId="77777777" w:rsidR="001D7EAE" w:rsidRPr="006D1534" w:rsidRDefault="001D7EAE" w:rsidP="001546A8">
            <w:pPr>
              <w:spacing w:beforeLines="40" w:before="96" w:line="240" w:lineRule="auto"/>
              <w:ind w:left="430"/>
              <w:rPr>
                <w:lang w:val="en-CA"/>
              </w:rPr>
            </w:pPr>
            <w:r w:rsidRPr="006D1534">
              <w:rPr>
                <w:lang w:val="en-CA"/>
              </w:rPr>
              <w:t>Prefer point of need assistance</w:t>
            </w:r>
          </w:p>
        </w:tc>
        <w:tc>
          <w:tcPr>
            <w:tcW w:w="2424" w:type="pct"/>
            <w:tcBorders>
              <w:top w:val="single" w:sz="4" w:space="0" w:color="BFBFBF"/>
            </w:tcBorders>
            <w:shd w:val="clear" w:color="auto" w:fill="auto"/>
          </w:tcPr>
          <w:p w14:paraId="4BBCC42E" w14:textId="070B6729" w:rsidR="001D7EAE" w:rsidRPr="006D1534" w:rsidRDefault="00292183" w:rsidP="001546A8">
            <w:pPr>
              <w:spacing w:beforeLines="40" w:before="96" w:after="40" w:line="240" w:lineRule="auto"/>
              <w:rPr>
                <w:lang w:val="en-CA"/>
              </w:rPr>
            </w:pPr>
            <w:r>
              <w:rPr>
                <w:lang w:val="en-CA"/>
              </w:rPr>
              <w:t>‘</w:t>
            </w:r>
            <w:r w:rsidR="001D7EAE" w:rsidRPr="006D1534">
              <w:rPr>
                <w:i/>
                <w:lang w:val="en-CA"/>
              </w:rPr>
              <w:t>I prefer not to have to go to new pages to get what I need. If that is the case I'd google it myself</w:t>
            </w:r>
            <w:r>
              <w:rPr>
                <w:lang w:val="en-CA"/>
              </w:rPr>
              <w:t>’</w:t>
            </w:r>
            <w:r w:rsidR="001D7EAE" w:rsidRPr="006D1534">
              <w:rPr>
                <w:lang w:val="en-CA"/>
              </w:rPr>
              <w:t xml:space="preserve"> (Student #26)</w:t>
            </w:r>
          </w:p>
        </w:tc>
        <w:tc>
          <w:tcPr>
            <w:tcW w:w="1032" w:type="pct"/>
            <w:tcBorders>
              <w:top w:val="single" w:sz="4" w:space="0" w:color="BFBFBF"/>
            </w:tcBorders>
            <w:shd w:val="clear" w:color="auto" w:fill="auto"/>
          </w:tcPr>
          <w:p w14:paraId="23BF02BD" w14:textId="77777777" w:rsidR="001D7EAE" w:rsidRPr="006D1534" w:rsidRDefault="001D7EAE" w:rsidP="001546A8">
            <w:pPr>
              <w:spacing w:beforeLines="40" w:before="96" w:line="240" w:lineRule="auto"/>
              <w:rPr>
                <w:lang w:val="en-CA"/>
              </w:rPr>
            </w:pPr>
            <w:r w:rsidRPr="006D1534">
              <w:rPr>
                <w:lang w:val="en-CA"/>
              </w:rPr>
              <w:t>4 (2B, 1O)</w:t>
            </w:r>
          </w:p>
        </w:tc>
      </w:tr>
    </w:tbl>
    <w:p w14:paraId="236F6EF7" w14:textId="77777777" w:rsidR="001D7EAE" w:rsidRPr="005104B6" w:rsidRDefault="001D7EAE" w:rsidP="001D7EAE">
      <w:pPr>
        <w:rPr>
          <w:lang w:val="en-CA"/>
        </w:rPr>
      </w:pPr>
      <w:r w:rsidRPr="005104B6">
        <w:rPr>
          <w:vertAlign w:val="superscript"/>
          <w:lang w:val="en-CA"/>
        </w:rPr>
        <w:t>a</w:t>
      </w:r>
      <w:r w:rsidRPr="005104B6">
        <w:rPr>
          <w:lang w:val="en-CA"/>
        </w:rPr>
        <w:t xml:space="preserve"> The number of letters and excerpts do not always match as there may have been multiple excerpts per theme in the same letter. Letter codes are the following: B=Breakup, L=Love, N=Never used, O=One-night stand, A=Ambivalent.</w:t>
      </w:r>
    </w:p>
    <w:p w14:paraId="0500CC3B" w14:textId="77777777" w:rsidR="001D7EAE" w:rsidRPr="005104B6" w:rsidRDefault="001D7EAE" w:rsidP="001D7EAE">
      <w:pPr>
        <w:rPr>
          <w:lang w:val="en-CA"/>
        </w:rPr>
      </w:pPr>
    </w:p>
    <w:p w14:paraId="0AA7A663" w14:textId="60027A40" w:rsidR="001D7EAE" w:rsidRDefault="00292183" w:rsidP="001D7EAE">
      <w:pPr>
        <w:rPr>
          <w:lang w:val="en-CA"/>
        </w:rPr>
      </w:pPr>
      <w:r>
        <w:rPr>
          <w:lang w:val="en-CA"/>
        </w:rPr>
        <w:t>‘</w:t>
      </w:r>
      <w:r w:rsidR="001D7EAE" w:rsidRPr="005104B6">
        <w:rPr>
          <w:lang w:val="en-CA"/>
        </w:rPr>
        <w:t>It’s you</w:t>
      </w:r>
      <w:r>
        <w:rPr>
          <w:lang w:val="en-CA"/>
        </w:rPr>
        <w:t>’</w:t>
      </w:r>
      <w:r w:rsidR="001D7EAE" w:rsidRPr="005104B6">
        <w:rPr>
          <w:lang w:val="en-CA"/>
        </w:rPr>
        <w:t xml:space="preserve"> passages mostly emerged from love letters and were either generic in nature or non-actionable. These included phrases such as </w:t>
      </w:r>
      <w:r>
        <w:rPr>
          <w:lang w:val="en-CA"/>
        </w:rPr>
        <w:t>‘</w:t>
      </w:r>
      <w:r w:rsidR="001D7EAE" w:rsidRPr="006D103A">
        <w:rPr>
          <w:i/>
          <w:lang w:val="en-CA"/>
        </w:rPr>
        <w:t>You helped me find everything I needed to write my paper</w:t>
      </w:r>
      <w:r>
        <w:rPr>
          <w:lang w:val="en-CA"/>
        </w:rPr>
        <w:t>’</w:t>
      </w:r>
      <w:r w:rsidR="001D7EAE" w:rsidRPr="005104B6">
        <w:rPr>
          <w:lang w:val="en-CA"/>
        </w:rPr>
        <w:t xml:space="preserve"> (Student #37), coded as </w:t>
      </w:r>
      <w:r>
        <w:rPr>
          <w:lang w:val="en-CA"/>
        </w:rPr>
        <w:t>‘</w:t>
      </w:r>
      <w:r w:rsidR="001D7EAE" w:rsidRPr="005104B6">
        <w:rPr>
          <w:lang w:val="en-CA"/>
        </w:rPr>
        <w:t>usefulness</w:t>
      </w:r>
      <w:r>
        <w:rPr>
          <w:lang w:val="en-CA"/>
        </w:rPr>
        <w:t>’</w:t>
      </w:r>
      <w:r w:rsidR="001D7EAE" w:rsidRPr="005104B6">
        <w:rPr>
          <w:lang w:val="en-CA"/>
        </w:rPr>
        <w:t xml:space="preserve">, or </w:t>
      </w:r>
      <w:r>
        <w:rPr>
          <w:lang w:val="en-CA"/>
        </w:rPr>
        <w:t>‘</w:t>
      </w:r>
      <w:r w:rsidR="001D7EAE" w:rsidRPr="006D103A">
        <w:rPr>
          <w:i/>
          <w:lang w:val="en-CA"/>
        </w:rPr>
        <w:t>Everything was well presented</w:t>
      </w:r>
      <w:r>
        <w:rPr>
          <w:lang w:val="en-CA"/>
        </w:rPr>
        <w:t>’</w:t>
      </w:r>
      <w:r w:rsidR="001D7EAE" w:rsidRPr="005104B6">
        <w:rPr>
          <w:lang w:val="en-CA"/>
        </w:rPr>
        <w:t xml:space="preserve"> (Student #40), coded as </w:t>
      </w:r>
      <w:r>
        <w:rPr>
          <w:lang w:val="en-CA"/>
        </w:rPr>
        <w:t>‘</w:t>
      </w:r>
      <w:r w:rsidR="001D7EAE" w:rsidRPr="005104B6">
        <w:rPr>
          <w:lang w:val="en-CA"/>
        </w:rPr>
        <w:t>good design</w:t>
      </w:r>
      <w:r>
        <w:rPr>
          <w:lang w:val="en-CA"/>
        </w:rPr>
        <w:t>’</w:t>
      </w:r>
      <w:r w:rsidR="001D7EAE" w:rsidRPr="005104B6">
        <w:rPr>
          <w:lang w:val="en-CA"/>
        </w:rPr>
        <w:t xml:space="preserve">. Other excerpts related to the level of detail in the tutorial and revealed contradictory assertions. For example, Student #16 wrote </w:t>
      </w:r>
      <w:r>
        <w:rPr>
          <w:lang w:val="en-CA"/>
        </w:rPr>
        <w:t>‘</w:t>
      </w:r>
      <w:r w:rsidR="001D7EAE" w:rsidRPr="006D103A">
        <w:rPr>
          <w:i/>
          <w:lang w:val="en-CA"/>
        </w:rPr>
        <w:t>when it comes to finding information on specific topics, I find it tends to be limited</w:t>
      </w:r>
      <w:r>
        <w:rPr>
          <w:lang w:val="en-CA"/>
        </w:rPr>
        <w:t>’</w:t>
      </w:r>
      <w:r w:rsidR="001D7EAE" w:rsidRPr="005104B6">
        <w:rPr>
          <w:lang w:val="en-CA"/>
        </w:rPr>
        <w:t xml:space="preserve">, whereas Student #23 wrote </w:t>
      </w:r>
      <w:r>
        <w:rPr>
          <w:lang w:val="en-CA"/>
        </w:rPr>
        <w:t>‘</w:t>
      </w:r>
      <w:r w:rsidR="001D7EAE" w:rsidRPr="006D103A">
        <w:rPr>
          <w:i/>
          <w:lang w:val="en-CA"/>
        </w:rPr>
        <w:t>I think for someone looking for specific info it might be a bit overwhelming and hard to situate themselves</w:t>
      </w:r>
      <w:r w:rsidR="001D7EAE" w:rsidRPr="005104B6">
        <w:rPr>
          <w:lang w:val="en-CA"/>
        </w:rPr>
        <w:t>.</w:t>
      </w:r>
      <w:r>
        <w:rPr>
          <w:lang w:val="en-CA"/>
        </w:rPr>
        <w:t>’</w:t>
      </w:r>
      <w:r w:rsidR="001D7EAE" w:rsidRPr="005104B6">
        <w:rPr>
          <w:lang w:val="en-CA"/>
        </w:rPr>
        <w:t> </w:t>
      </w:r>
    </w:p>
    <w:p w14:paraId="704BDBFF" w14:textId="77777777" w:rsidR="00473CEC" w:rsidRPr="005104B6" w:rsidRDefault="00473CEC" w:rsidP="001D7EAE">
      <w:pPr>
        <w:rPr>
          <w:lang w:val="en-CA"/>
        </w:rPr>
      </w:pPr>
    </w:p>
    <w:p w14:paraId="5CA6EB38" w14:textId="21A88CA2" w:rsidR="001D7EAE" w:rsidRDefault="001D7EAE" w:rsidP="001D7EAE">
      <w:pPr>
        <w:rPr>
          <w:lang w:val="en-CA"/>
        </w:rPr>
      </w:pPr>
      <w:r w:rsidRPr="005104B6">
        <w:rPr>
          <w:lang w:val="en-CA"/>
        </w:rPr>
        <w:t xml:space="preserve">The more numerous </w:t>
      </w:r>
      <w:r w:rsidR="00292183">
        <w:rPr>
          <w:lang w:val="en-CA"/>
        </w:rPr>
        <w:t>‘</w:t>
      </w:r>
      <w:r w:rsidRPr="005104B6">
        <w:rPr>
          <w:lang w:val="en-CA"/>
        </w:rPr>
        <w:t>It’s not you, it’s me</w:t>
      </w:r>
      <w:r w:rsidR="00292183">
        <w:rPr>
          <w:lang w:val="en-CA"/>
        </w:rPr>
        <w:t>’</w:t>
      </w:r>
      <w:r w:rsidRPr="005104B6">
        <w:rPr>
          <w:lang w:val="en-CA"/>
        </w:rPr>
        <w:t xml:space="preserve"> excerpts proved more fruitful for analysis. A common theme in this category was </w:t>
      </w:r>
      <w:r w:rsidR="00292183">
        <w:rPr>
          <w:lang w:val="en-CA"/>
        </w:rPr>
        <w:t>‘</w:t>
      </w:r>
      <w:r w:rsidRPr="005104B6">
        <w:rPr>
          <w:lang w:val="en-CA"/>
        </w:rPr>
        <w:t>intention to use again</w:t>
      </w:r>
      <w:r w:rsidR="00292183">
        <w:rPr>
          <w:lang w:val="en-CA"/>
        </w:rPr>
        <w:t>’</w:t>
      </w:r>
      <w:r w:rsidRPr="005104B6">
        <w:rPr>
          <w:lang w:val="en-CA"/>
        </w:rPr>
        <w:t xml:space="preserve">, emanating mostly from breakup or never used letters. Half of the comments here alluded to the potential value of the tutorial and offered some promise or intention of future use, such as </w:t>
      </w:r>
      <w:r w:rsidR="00292183">
        <w:rPr>
          <w:lang w:val="en-CA"/>
        </w:rPr>
        <w:t>‘</w:t>
      </w:r>
      <w:r w:rsidRPr="006D103A">
        <w:rPr>
          <w:i/>
          <w:lang w:val="en-CA"/>
        </w:rPr>
        <w:t>I hope we can still be friends and that it's okay if I come to you in a time of need</w:t>
      </w:r>
      <w:r w:rsidR="00292183">
        <w:rPr>
          <w:lang w:val="en-CA"/>
        </w:rPr>
        <w:t>’</w:t>
      </w:r>
      <w:r w:rsidRPr="005104B6">
        <w:rPr>
          <w:lang w:val="en-CA"/>
        </w:rPr>
        <w:t xml:space="preserve"> (Student #26). Of the other half of passages indicating no intention to use again, many offered best wishes for success with others, such as </w:t>
      </w:r>
      <w:r w:rsidR="00292183">
        <w:rPr>
          <w:lang w:val="en-CA"/>
        </w:rPr>
        <w:t>‘</w:t>
      </w:r>
      <w:r w:rsidRPr="006D103A">
        <w:rPr>
          <w:i/>
          <w:lang w:val="en-CA"/>
        </w:rPr>
        <w:t>Hopefully you find someone else that can benefit from you</w:t>
      </w:r>
      <w:r w:rsidR="00292183">
        <w:rPr>
          <w:lang w:val="en-CA"/>
        </w:rPr>
        <w:t>’</w:t>
      </w:r>
      <w:r w:rsidRPr="005104B6">
        <w:rPr>
          <w:lang w:val="en-CA"/>
        </w:rPr>
        <w:t xml:space="preserve"> (Student #21).</w:t>
      </w:r>
    </w:p>
    <w:p w14:paraId="250FDD33" w14:textId="77777777" w:rsidR="00473CEC" w:rsidRPr="005104B6" w:rsidRDefault="00473CEC" w:rsidP="001D7EAE">
      <w:pPr>
        <w:rPr>
          <w:lang w:val="en-CA"/>
        </w:rPr>
      </w:pPr>
    </w:p>
    <w:p w14:paraId="2DD2DED9" w14:textId="3E7A3494" w:rsidR="00473CEC" w:rsidRDefault="001D7EAE" w:rsidP="001D7EAE">
      <w:pPr>
        <w:rPr>
          <w:lang w:val="en-CA"/>
        </w:rPr>
      </w:pPr>
      <w:r w:rsidRPr="005104B6">
        <w:rPr>
          <w:lang w:val="en-CA"/>
        </w:rPr>
        <w:t xml:space="preserve">The most prevalent theme in the student context category dealt with attitudes towards library research, with more than half of the excerpts coded as </w:t>
      </w:r>
      <w:r w:rsidR="00292183">
        <w:rPr>
          <w:lang w:val="en-CA"/>
        </w:rPr>
        <w:t>‘</w:t>
      </w:r>
      <w:r w:rsidRPr="005104B6">
        <w:rPr>
          <w:lang w:val="en-CA"/>
        </w:rPr>
        <w:t>confidence</w:t>
      </w:r>
      <w:r w:rsidR="00292183">
        <w:rPr>
          <w:lang w:val="en-CA"/>
        </w:rPr>
        <w:t>’</w:t>
      </w:r>
      <w:r w:rsidRPr="005104B6">
        <w:rPr>
          <w:lang w:val="en-CA"/>
        </w:rPr>
        <w:t xml:space="preserve">. Students wrote passages indicating that they already knew how to do library research, or had learned it previously, as exemplified by Student #33: </w:t>
      </w:r>
      <w:r w:rsidR="00292183">
        <w:rPr>
          <w:lang w:val="en-CA"/>
        </w:rPr>
        <w:t>‘</w:t>
      </w:r>
      <w:r w:rsidRPr="006D103A">
        <w:rPr>
          <w:i/>
          <w:lang w:val="en-CA"/>
        </w:rPr>
        <w:t>All this had information that I generally knew</w:t>
      </w:r>
      <w:r w:rsidR="00292183">
        <w:rPr>
          <w:lang w:val="en-CA"/>
        </w:rPr>
        <w:t>’</w:t>
      </w:r>
      <w:r w:rsidRPr="005104B6">
        <w:rPr>
          <w:lang w:val="en-CA"/>
        </w:rPr>
        <w:t xml:space="preserve">. These statements of confidence were often attenuated, even by students in the introductory 200-level classes, with suggestions that the tutorial would be more appropriate for those with less experience, such as </w:t>
      </w:r>
      <w:r w:rsidR="00292183">
        <w:rPr>
          <w:lang w:val="en-CA"/>
        </w:rPr>
        <w:t>‘</w:t>
      </w:r>
      <w:r w:rsidRPr="006D103A">
        <w:rPr>
          <w:i/>
          <w:lang w:val="en-CA"/>
        </w:rPr>
        <w:t>someone doing a research paper for the first time</w:t>
      </w:r>
      <w:r w:rsidR="00292183">
        <w:rPr>
          <w:lang w:val="en-CA"/>
        </w:rPr>
        <w:t>’</w:t>
      </w:r>
      <w:r w:rsidRPr="005104B6">
        <w:rPr>
          <w:lang w:val="en-CA"/>
        </w:rPr>
        <w:t xml:space="preserve"> (Student #4).  </w:t>
      </w:r>
    </w:p>
    <w:p w14:paraId="0A9AB996" w14:textId="6CA5C065" w:rsidR="001D7EAE" w:rsidRPr="005104B6" w:rsidRDefault="001D7EAE" w:rsidP="001D7EAE">
      <w:pPr>
        <w:rPr>
          <w:lang w:val="en-CA"/>
        </w:rPr>
      </w:pPr>
      <w:r w:rsidRPr="005104B6">
        <w:rPr>
          <w:lang w:val="en-CA"/>
        </w:rPr>
        <w:t> </w:t>
      </w:r>
    </w:p>
    <w:p w14:paraId="1D221529" w14:textId="64136C8E" w:rsidR="00473CEC" w:rsidRPr="005104B6" w:rsidRDefault="001D7EAE" w:rsidP="001D7EAE">
      <w:pPr>
        <w:rPr>
          <w:lang w:val="en-CA"/>
        </w:rPr>
      </w:pPr>
      <w:r w:rsidRPr="005104B6">
        <w:rPr>
          <w:lang w:val="en-CA"/>
        </w:rPr>
        <w:t xml:space="preserve">The final theme identified in this category related to students’ learning and searching style preferences. Most excerpts were from breakup letters and specified a preference for other more familiar research sources such as Google, YouTube, and even a library subject guide. Student #22 summed it up as such: </w:t>
      </w:r>
      <w:r w:rsidR="00292183">
        <w:rPr>
          <w:lang w:val="en-CA"/>
        </w:rPr>
        <w:t>‘</w:t>
      </w:r>
      <w:r w:rsidRPr="006D103A">
        <w:rPr>
          <w:i/>
          <w:lang w:val="en-CA"/>
        </w:rPr>
        <w:t>I have found other, better, more user friendly resources to have my academic paper writing time with</w:t>
      </w:r>
      <w:r w:rsidRPr="005104B6">
        <w:rPr>
          <w:lang w:val="en-CA"/>
        </w:rPr>
        <w:t>.</w:t>
      </w:r>
      <w:r w:rsidR="00292183">
        <w:rPr>
          <w:lang w:val="en-CA"/>
        </w:rPr>
        <w:t>’</w:t>
      </w:r>
      <w:r w:rsidRPr="005104B6">
        <w:rPr>
          <w:lang w:val="en-CA"/>
        </w:rPr>
        <w:t> </w:t>
      </w:r>
    </w:p>
    <w:p w14:paraId="42956E56" w14:textId="77777777" w:rsidR="001D7EAE" w:rsidRPr="001546A8" w:rsidRDefault="001D7EAE" w:rsidP="00473CEC">
      <w:pPr>
        <w:rPr>
          <w:b/>
          <w:color w:val="000000"/>
          <w:sz w:val="28"/>
          <w:szCs w:val="28"/>
        </w:rPr>
      </w:pPr>
    </w:p>
    <w:p w14:paraId="79B6C25D" w14:textId="77777777" w:rsidR="001D7EAE" w:rsidRPr="001546A8" w:rsidRDefault="001D7EAE" w:rsidP="001546A8">
      <w:pPr>
        <w:keepNext/>
        <w:keepLines/>
        <w:pBdr>
          <w:top w:val="nil"/>
          <w:left w:val="nil"/>
          <w:bottom w:val="nil"/>
          <w:right w:val="nil"/>
          <w:between w:val="nil"/>
        </w:pBdr>
        <w:spacing w:after="200" w:line="240" w:lineRule="auto"/>
        <w:rPr>
          <w:b/>
          <w:color w:val="000000"/>
          <w:sz w:val="28"/>
          <w:szCs w:val="28"/>
        </w:rPr>
      </w:pPr>
      <w:r w:rsidRPr="001546A8">
        <w:rPr>
          <w:b/>
          <w:color w:val="000000"/>
          <w:sz w:val="28"/>
          <w:szCs w:val="28"/>
        </w:rPr>
        <w:t xml:space="preserve">5. Discussion </w:t>
      </w:r>
    </w:p>
    <w:p w14:paraId="734B63EA" w14:textId="0DBC03ED" w:rsidR="001D7EAE" w:rsidRDefault="001D7EAE" w:rsidP="001D7EAE">
      <w:pPr>
        <w:rPr>
          <w:lang w:val="en-CA"/>
        </w:rPr>
      </w:pPr>
      <w:r w:rsidRPr="005104B6">
        <w:rPr>
          <w:lang w:val="en-CA"/>
        </w:rPr>
        <w:t xml:space="preserve">In answer to the first question this study investigated, </w:t>
      </w:r>
      <w:r>
        <w:rPr>
          <w:lang w:val="en-CA"/>
        </w:rPr>
        <w:t>undergraduate students did not consider the</w:t>
      </w:r>
      <w:r w:rsidRPr="005104B6">
        <w:rPr>
          <w:lang w:val="en-CA"/>
        </w:rPr>
        <w:t xml:space="preserve"> Library Research Skills Tutorial to be useful when recommended </w:t>
      </w:r>
      <w:r>
        <w:rPr>
          <w:lang w:val="en-CA"/>
        </w:rPr>
        <w:t>as an independent learning tool for help with</w:t>
      </w:r>
      <w:r w:rsidRPr="005104B6">
        <w:rPr>
          <w:lang w:val="en-CA"/>
        </w:rPr>
        <w:t xml:space="preserve"> writing research assignments. This finding is significant for academic librarians spending time and energy on the development of high-quality tutorials with the intent of having them serve as self-directed or assigned learning tools. </w:t>
      </w:r>
    </w:p>
    <w:p w14:paraId="00EF4D74" w14:textId="77777777" w:rsidR="00473CEC" w:rsidRPr="005104B6" w:rsidRDefault="00473CEC" w:rsidP="001D7EAE">
      <w:pPr>
        <w:rPr>
          <w:lang w:val="en-CA"/>
        </w:rPr>
      </w:pPr>
    </w:p>
    <w:p w14:paraId="2E450B35" w14:textId="05820570" w:rsidR="001D7EAE" w:rsidRDefault="001D7EAE" w:rsidP="001D7EAE">
      <w:pPr>
        <w:rPr>
          <w:lang w:val="en-CA"/>
        </w:rPr>
      </w:pPr>
      <w:r w:rsidRPr="005104B6">
        <w:rPr>
          <w:shd w:val="clear" w:color="auto" w:fill="FFFFFF"/>
          <w:lang w:val="en-CA"/>
        </w:rPr>
        <w:t xml:space="preserve">The high proportion of breakup letters written by students sharply contrasts </w:t>
      </w:r>
      <w:r w:rsidRPr="005104B6">
        <w:rPr>
          <w:lang w:val="en-CA"/>
        </w:rPr>
        <w:t xml:space="preserve">with the overwhelmingly positive feedback received during informal prelaunch user testing. This rejection seems </w:t>
      </w:r>
      <w:r w:rsidRPr="005104B6">
        <w:rPr>
          <w:shd w:val="clear" w:color="auto" w:fill="FFFFFF"/>
          <w:lang w:val="en-CA"/>
        </w:rPr>
        <w:t>closely tied to the fact that participants, instead of being recruited to evaluate the tutorial for its own sake or for an imagined future use, were directed to use the tool for an actual assignment in their course. The literature has shown that when doing library research with the goal of completing an assignment, students generally look for tools that accomplish tasks rather than teach concepts</w:t>
      </w:r>
      <w:r w:rsidRPr="005104B6">
        <w:rPr>
          <w:color w:val="3C4043"/>
          <w:shd w:val="clear" w:color="auto" w:fill="FFFFFF"/>
          <w:lang w:val="en-CA"/>
        </w:rPr>
        <w:t xml:space="preserve"> </w:t>
      </w:r>
      <w:r w:rsidRPr="005104B6">
        <w:rPr>
          <w:lang w:val="en-CA"/>
        </w:rPr>
        <w:t xml:space="preserve">(Bowles-Terry, 2010; </w:t>
      </w:r>
      <w:r>
        <w:rPr>
          <w:lang w:val="en-CA"/>
        </w:rPr>
        <w:t xml:space="preserve">Nichols </w:t>
      </w:r>
      <w:r w:rsidRPr="00434BD0">
        <w:rPr>
          <w:lang w:val="en-CA"/>
        </w:rPr>
        <w:t>Hess &amp; Hristova 2016</w:t>
      </w:r>
      <w:r>
        <w:rPr>
          <w:lang w:val="en-CA"/>
        </w:rPr>
        <w:t xml:space="preserve">; </w:t>
      </w:r>
      <w:r w:rsidRPr="005104B6">
        <w:rPr>
          <w:lang w:val="en-CA"/>
        </w:rPr>
        <w:t>Rothera, 2015; Veldof &amp; Beavers, 2001). Farkas (2014)</w:t>
      </w:r>
      <w:r w:rsidRPr="005104B6">
        <w:rPr>
          <w:i/>
          <w:iCs/>
          <w:lang w:val="en-CA"/>
        </w:rPr>
        <w:t xml:space="preserve"> </w:t>
      </w:r>
      <w:r w:rsidRPr="005104B6">
        <w:rPr>
          <w:lang w:val="en-CA"/>
        </w:rPr>
        <w:t xml:space="preserve">asserts that </w:t>
      </w:r>
      <w:r w:rsidR="00292183">
        <w:rPr>
          <w:lang w:val="en-CA"/>
        </w:rPr>
        <w:t>‘</w:t>
      </w:r>
      <w:r w:rsidRPr="005104B6">
        <w:rPr>
          <w:lang w:val="en-CA"/>
        </w:rPr>
        <w:t>students are not usually looking to</w:t>
      </w:r>
      <w:r w:rsidRPr="005104B6">
        <w:rPr>
          <w:i/>
          <w:iCs/>
          <w:lang w:val="en-CA"/>
        </w:rPr>
        <w:t xml:space="preserve"> learn</w:t>
      </w:r>
      <w:r w:rsidRPr="005104B6">
        <w:rPr>
          <w:lang w:val="en-CA"/>
        </w:rPr>
        <w:t xml:space="preserve"> how to do research, but to</w:t>
      </w:r>
      <w:r w:rsidRPr="005104B6">
        <w:rPr>
          <w:i/>
          <w:iCs/>
          <w:lang w:val="en-CA"/>
        </w:rPr>
        <w:t xml:space="preserve"> do</w:t>
      </w:r>
      <w:r w:rsidRPr="005104B6">
        <w:rPr>
          <w:lang w:val="en-CA"/>
        </w:rPr>
        <w:t xml:space="preserve"> something specific. Students want quick answers to their questions, not a tutorial</w:t>
      </w:r>
      <w:r w:rsidR="00292183">
        <w:rPr>
          <w:lang w:val="en-CA"/>
        </w:rPr>
        <w:t>’</w:t>
      </w:r>
      <w:r w:rsidRPr="005104B6">
        <w:rPr>
          <w:lang w:val="en-CA"/>
        </w:rPr>
        <w:t xml:space="preserve"> (emphasis added, slide 43). Though the Library Research Skills Tutorial was designed to include short stand-alone segments and videos aimed at answering quick questions, when taken as a whole it definitely constitutes a learning, rather than a doing, tool. And if students often use </w:t>
      </w:r>
      <w:r w:rsidR="00292183">
        <w:rPr>
          <w:lang w:val="en-CA"/>
        </w:rPr>
        <w:t>‘</w:t>
      </w:r>
      <w:r w:rsidRPr="005104B6">
        <w:rPr>
          <w:lang w:val="en-CA"/>
        </w:rPr>
        <w:t>highly strategic, goal-focused, linear navigational strategies</w:t>
      </w:r>
      <w:r w:rsidR="00292183">
        <w:rPr>
          <w:lang w:val="en-CA"/>
        </w:rPr>
        <w:t>’</w:t>
      </w:r>
      <w:r w:rsidRPr="005104B6">
        <w:rPr>
          <w:lang w:val="en-CA"/>
        </w:rPr>
        <w:t xml:space="preserve"> (Rothera, 2015, p. 47) when researching online, lack of enthusiasm by participants in this study for exploring a seven-module library research tutorial should not be surprising. The highly-generic comments about design and content found in the majority of love letters suggest that in addition to the participants who admitted bypassing the tutorial altogether, many engaged with it only minimally. </w:t>
      </w:r>
    </w:p>
    <w:p w14:paraId="474890EF" w14:textId="77777777" w:rsidR="00473CEC" w:rsidRPr="005104B6" w:rsidRDefault="00473CEC" w:rsidP="001D7EAE">
      <w:pPr>
        <w:rPr>
          <w:lang w:val="en-CA"/>
        </w:rPr>
      </w:pPr>
    </w:p>
    <w:p w14:paraId="29CBCC31" w14:textId="585F8370" w:rsidR="001D7EAE" w:rsidRDefault="001D7EAE" w:rsidP="001D7EAE">
      <w:pPr>
        <w:rPr>
          <w:lang w:val="en-CA"/>
        </w:rPr>
      </w:pPr>
      <w:r w:rsidRPr="005104B6">
        <w:rPr>
          <w:lang w:val="en-CA"/>
        </w:rPr>
        <w:t xml:space="preserve">Students wrote that the tutorial, though possibly appropriate for other people or under other circumstances, was not well suited for their own needs. Other studies show that even online tutorials with highly-positive student reviews will not necessarily be considered personally relevant by those same students, nor adopted by them as ongoing objects of attachment. When Donaldson (2000) evaluated an online tutorial designed for a first-year </w:t>
      </w:r>
      <w:r w:rsidR="00D475C8">
        <w:rPr>
          <w:lang w:val="en-CA"/>
        </w:rPr>
        <w:t>IL</w:t>
      </w:r>
      <w:r w:rsidRPr="005104B6">
        <w:rPr>
          <w:lang w:val="en-CA"/>
        </w:rPr>
        <w:t xml:space="preserve"> class, a strong majority</w:t>
      </w:r>
      <w:r w:rsidRPr="005104B6">
        <w:rPr>
          <w:b/>
          <w:bCs/>
          <w:lang w:val="en-CA"/>
        </w:rPr>
        <w:t xml:space="preserve"> </w:t>
      </w:r>
      <w:r w:rsidRPr="005104B6">
        <w:rPr>
          <w:lang w:val="en-CA"/>
        </w:rPr>
        <w:t xml:space="preserve">rated the tutorial’s content, delivery method, and presentation as excellent or good, but rated its value to their own program of study as only fair. Tooman and Sibthorpe (2012) found that though students were highly satisfied with their tutorial experience, 60% said that they </w:t>
      </w:r>
      <w:r w:rsidRPr="005104B6">
        <w:rPr>
          <w:lang w:val="en-CA"/>
        </w:rPr>
        <w:lastRenderedPageBreak/>
        <w:t>would not need the tool again, despite the fact that most required multiple attempts to succeed in the accompanying competence quizzes. </w:t>
      </w:r>
    </w:p>
    <w:p w14:paraId="2E7EA743" w14:textId="77777777" w:rsidR="00473CEC" w:rsidRPr="005104B6" w:rsidRDefault="00473CEC" w:rsidP="001D7EAE">
      <w:pPr>
        <w:rPr>
          <w:lang w:val="en-CA"/>
        </w:rPr>
      </w:pPr>
    </w:p>
    <w:p w14:paraId="6F192182" w14:textId="1BE16B61" w:rsidR="00473CEC" w:rsidRDefault="001D7EAE" w:rsidP="001D7EAE">
      <w:pPr>
        <w:rPr>
          <w:lang w:val="en-CA"/>
        </w:rPr>
      </w:pPr>
      <w:r w:rsidRPr="005104B6">
        <w:rPr>
          <w:lang w:val="en-CA"/>
        </w:rPr>
        <w:t xml:space="preserve">The expressions of confidence found in breakup and never used letters closely align with responses documented by Colosimo </w:t>
      </w:r>
      <w:r>
        <w:rPr>
          <w:lang w:val="en-CA"/>
        </w:rPr>
        <w:t>and</w:t>
      </w:r>
      <w:r w:rsidRPr="005104B6">
        <w:rPr>
          <w:lang w:val="en-CA"/>
        </w:rPr>
        <w:t xml:space="preserve"> Kasuto (2012) in their video tutorial testing</w:t>
      </w:r>
      <w:r>
        <w:rPr>
          <w:lang w:val="en-CA"/>
        </w:rPr>
        <w:t xml:space="preserve">. They also echo </w:t>
      </w:r>
      <w:r w:rsidRPr="005104B6">
        <w:rPr>
          <w:lang w:val="en-CA"/>
        </w:rPr>
        <w:t>comments recorded in the online tutorial evaluations by Phillips</w:t>
      </w:r>
      <w:r>
        <w:rPr>
          <w:lang w:val="en-CA"/>
        </w:rPr>
        <w:t xml:space="preserve"> and</w:t>
      </w:r>
      <w:r w:rsidRPr="005104B6">
        <w:rPr>
          <w:lang w:val="en-CA"/>
        </w:rPr>
        <w:t xml:space="preserve"> Kearly (2003): </w:t>
      </w:r>
      <w:r w:rsidR="00292183">
        <w:rPr>
          <w:lang w:val="en-CA"/>
        </w:rPr>
        <w:t>‘</w:t>
      </w:r>
      <w:r w:rsidRPr="005104B6">
        <w:rPr>
          <w:lang w:val="en-CA"/>
        </w:rPr>
        <w:t>I already know this stuff; don’t make me do this</w:t>
      </w:r>
      <w:r w:rsidR="00292183">
        <w:rPr>
          <w:lang w:val="en-CA"/>
        </w:rPr>
        <w:t>’</w:t>
      </w:r>
      <w:r w:rsidRPr="005104B6">
        <w:rPr>
          <w:lang w:val="en-CA"/>
        </w:rPr>
        <w:t xml:space="preserve"> (p. 354) and </w:t>
      </w:r>
      <w:r>
        <w:rPr>
          <w:lang w:val="en-CA"/>
        </w:rPr>
        <w:t xml:space="preserve">by </w:t>
      </w:r>
      <w:r w:rsidRPr="005104B6">
        <w:rPr>
          <w:lang w:val="en-CA"/>
        </w:rPr>
        <w:t xml:space="preserve">Veldof </w:t>
      </w:r>
      <w:r>
        <w:rPr>
          <w:lang w:val="en-CA"/>
        </w:rPr>
        <w:t>and</w:t>
      </w:r>
      <w:r w:rsidRPr="005104B6">
        <w:rPr>
          <w:lang w:val="en-CA"/>
        </w:rPr>
        <w:t xml:space="preserve"> Beavers (2001): </w:t>
      </w:r>
      <w:r w:rsidR="00292183">
        <w:rPr>
          <w:lang w:val="en-CA"/>
        </w:rPr>
        <w:t>‘</w:t>
      </w:r>
      <w:r w:rsidRPr="005104B6">
        <w:rPr>
          <w:lang w:val="en-CA"/>
        </w:rPr>
        <w:t>this might be good for beginners, but I think it is annoying</w:t>
      </w:r>
      <w:r w:rsidR="00292183">
        <w:rPr>
          <w:lang w:val="en-CA"/>
        </w:rPr>
        <w:t>’</w:t>
      </w:r>
      <w:r w:rsidRPr="005104B6">
        <w:rPr>
          <w:lang w:val="en-CA"/>
        </w:rPr>
        <w:t xml:space="preserve"> (p. 9). Though this study did not test confidence against actual evidence of research skill, the literature convincingly argues that the Dunning</w:t>
      </w:r>
      <w:r w:rsidRPr="005104B6">
        <w:rPr>
          <w:rFonts w:ascii="Cambria Math" w:hAnsi="Cambria Math" w:cs="Cambria Math"/>
          <w:lang w:val="en-CA"/>
        </w:rPr>
        <w:t>‐</w:t>
      </w:r>
      <w:r w:rsidRPr="005104B6">
        <w:rPr>
          <w:lang w:val="en-CA"/>
        </w:rPr>
        <w:t xml:space="preserve">Kruger Effect, or the tendency of individuals less competent in certain skill areas to overestimate their abilities, also applies to undergraduates’ self-assessment of library research proficiency (Gross &amp; Latham, 2012; Mahmood, 2016). And since confident students </w:t>
      </w:r>
      <w:r w:rsidR="00292183">
        <w:rPr>
          <w:lang w:val="en-CA"/>
        </w:rPr>
        <w:t>‘</w:t>
      </w:r>
      <w:r w:rsidRPr="005104B6">
        <w:rPr>
          <w:lang w:val="en-CA"/>
        </w:rPr>
        <w:t>are unlikely to seek opportunities to build skills they think they already have</w:t>
      </w:r>
      <w:r w:rsidR="00292183">
        <w:rPr>
          <w:lang w:val="en-CA"/>
        </w:rPr>
        <w:t>’</w:t>
      </w:r>
      <w:r w:rsidRPr="005104B6">
        <w:rPr>
          <w:lang w:val="en-CA"/>
        </w:rPr>
        <w:t xml:space="preserve"> (Gross &amp; Latham, 2009, p. 337) confidence also likely contributed to the lack of engagement with the tutorial by participants in this study. That students in the introductory 200-level class proportionally wrote the most breakup and never used letters, and that their confidence levels showed no statistically-significant difference from those of 300-level students, supports these contentions. </w:t>
      </w:r>
    </w:p>
    <w:p w14:paraId="0A6548C6" w14:textId="4BE36EA9" w:rsidR="001D7EAE" w:rsidRPr="005104B6" w:rsidRDefault="001D7EAE" w:rsidP="001D7EAE">
      <w:pPr>
        <w:rPr>
          <w:lang w:val="en-CA"/>
        </w:rPr>
      </w:pPr>
      <w:r w:rsidRPr="005104B6">
        <w:rPr>
          <w:lang w:val="en-CA"/>
        </w:rPr>
        <w:t> </w:t>
      </w:r>
    </w:p>
    <w:p w14:paraId="6AA586A7" w14:textId="79F443DE" w:rsidR="001D7EAE" w:rsidRPr="00F52217" w:rsidRDefault="001D7EAE" w:rsidP="001D7EAE">
      <w:pPr>
        <w:rPr>
          <w:lang w:val="en-CA"/>
        </w:rPr>
      </w:pPr>
      <w:r w:rsidRPr="00DD0F47">
        <w:rPr>
          <w:lang w:val="en-CA"/>
        </w:rPr>
        <w:t xml:space="preserve">In terms of this study’s second research question, </w:t>
      </w:r>
      <w:r>
        <w:rPr>
          <w:lang w:val="en-CA"/>
        </w:rPr>
        <w:t>results</w:t>
      </w:r>
      <w:r w:rsidRPr="00DD0F47">
        <w:rPr>
          <w:lang w:val="en-CA"/>
        </w:rPr>
        <w:t xml:space="preserve"> indicate that the love/breakup letter method can indeed work</w:t>
      </w:r>
      <w:r>
        <w:rPr>
          <w:lang w:val="en-CA"/>
        </w:rPr>
        <w:t xml:space="preserve"> as part of a qualitative study</w:t>
      </w:r>
      <w:r w:rsidRPr="00DD0F47">
        <w:rPr>
          <w:lang w:val="en-CA"/>
        </w:rPr>
        <w:t xml:space="preserve"> in a library setting</w:t>
      </w:r>
      <w:r>
        <w:rPr>
          <w:lang w:val="en-CA"/>
        </w:rPr>
        <w:t xml:space="preserve">. </w:t>
      </w:r>
      <w:r w:rsidRPr="00B54270">
        <w:rPr>
          <w:lang w:val="en-CA"/>
        </w:rPr>
        <w:t>The letters provide</w:t>
      </w:r>
      <w:r>
        <w:rPr>
          <w:lang w:val="en-CA"/>
        </w:rPr>
        <w:t>d</w:t>
      </w:r>
      <w:r w:rsidRPr="00B54270">
        <w:rPr>
          <w:lang w:val="en-CA"/>
        </w:rPr>
        <w:t xml:space="preserve"> unique feedback, offering valuable insights into student attitudes toward library teaching tools and their usefulness for class assignments. The findings, and the authors’ observations, also support the idea that letter writing—particularly of the breakup variety—can be a satisfying and cathartic experience for participants (Gerber, 2012).</w:t>
      </w:r>
      <w:r>
        <w:rPr>
          <w:lang w:val="en-CA"/>
        </w:rPr>
        <w:t xml:space="preserve"> It is important to note that l</w:t>
      </w:r>
      <w:r w:rsidRPr="00DD0F47">
        <w:rPr>
          <w:lang w:val="en-CA"/>
        </w:rPr>
        <w:t>ove/breakup letters were initially intended to measure product loyalty (Martin &amp; Hanington, 2012)</w:t>
      </w:r>
      <w:r>
        <w:rPr>
          <w:lang w:val="en-CA"/>
        </w:rPr>
        <w:t xml:space="preserve"> rather than the effectiveness of library teaching tools. Yet the</w:t>
      </w:r>
      <w:r w:rsidRPr="00DD0F47">
        <w:rPr>
          <w:lang w:val="en-CA"/>
        </w:rPr>
        <w:t xml:space="preserve"> method proved flexible enough to allow for the emergence of unexpected letter types </w:t>
      </w:r>
      <w:r>
        <w:rPr>
          <w:lang w:val="en-CA"/>
        </w:rPr>
        <w:t xml:space="preserve">and conceptual categories </w:t>
      </w:r>
      <w:r w:rsidRPr="00DD0F47">
        <w:rPr>
          <w:lang w:val="en-CA"/>
        </w:rPr>
        <w:t xml:space="preserve">which </w:t>
      </w:r>
      <w:r>
        <w:rPr>
          <w:lang w:val="en-CA"/>
        </w:rPr>
        <w:t>seemed particularly suited to the evaluation of</w:t>
      </w:r>
      <w:r w:rsidRPr="00DD0F47">
        <w:rPr>
          <w:lang w:val="en-CA"/>
        </w:rPr>
        <w:t xml:space="preserve"> </w:t>
      </w:r>
      <w:r w:rsidR="00D475C8">
        <w:rPr>
          <w:lang w:val="en-CA"/>
        </w:rPr>
        <w:t>IL</w:t>
      </w:r>
      <w:r w:rsidRPr="00DD0F47">
        <w:rPr>
          <w:lang w:val="en-CA"/>
        </w:rPr>
        <w:t xml:space="preserve"> tools. </w:t>
      </w:r>
      <w:r>
        <w:rPr>
          <w:lang w:val="en-CA"/>
        </w:rPr>
        <w:t xml:space="preserve">The never-used letter type and the </w:t>
      </w:r>
      <w:r w:rsidR="00292183">
        <w:rPr>
          <w:lang w:val="en-CA"/>
        </w:rPr>
        <w:t>‘</w:t>
      </w:r>
      <w:r>
        <w:rPr>
          <w:lang w:val="en-CA"/>
        </w:rPr>
        <w:t>It’s not you, it’s me</w:t>
      </w:r>
      <w:r w:rsidR="00292183">
        <w:rPr>
          <w:lang w:val="en-CA"/>
        </w:rPr>
        <w:t>’</w:t>
      </w:r>
      <w:r>
        <w:rPr>
          <w:lang w:val="en-CA"/>
        </w:rPr>
        <w:t xml:space="preserve"> category</w:t>
      </w:r>
      <w:r w:rsidR="00D475C8">
        <w:rPr>
          <w:lang w:val="en-CA"/>
        </w:rPr>
        <w:t>,</w:t>
      </w:r>
      <w:r>
        <w:rPr>
          <w:lang w:val="en-CA"/>
        </w:rPr>
        <w:t xml:space="preserve"> for instance, offered useful insight into students’ subjective understandings of their own abilities to do library research unassisted.  And t</w:t>
      </w:r>
      <w:r w:rsidRPr="00DD0F47">
        <w:rPr>
          <w:lang w:val="en-CA"/>
        </w:rPr>
        <w:t>he one-night stand letter</w:t>
      </w:r>
      <w:r>
        <w:rPr>
          <w:lang w:val="en-CA"/>
        </w:rPr>
        <w:t xml:space="preserve"> type </w:t>
      </w:r>
      <w:r w:rsidRPr="00DD0F47">
        <w:rPr>
          <w:lang w:val="en-CA"/>
        </w:rPr>
        <w:t>seem</w:t>
      </w:r>
      <w:r>
        <w:rPr>
          <w:lang w:val="en-CA"/>
        </w:rPr>
        <w:t>ed</w:t>
      </w:r>
      <w:r w:rsidRPr="00DD0F47">
        <w:rPr>
          <w:lang w:val="en-CA"/>
        </w:rPr>
        <w:t xml:space="preserve"> uniquely relevant to the context of</w:t>
      </w:r>
      <w:r>
        <w:rPr>
          <w:lang w:val="en-CA"/>
        </w:rPr>
        <w:t xml:space="preserve"> teaching</w:t>
      </w:r>
      <w:r w:rsidRPr="00DD0F47">
        <w:rPr>
          <w:lang w:val="en-CA"/>
        </w:rPr>
        <w:t xml:space="preserve"> objects, which seek </w:t>
      </w:r>
      <w:r>
        <w:rPr>
          <w:lang w:val="en-CA"/>
        </w:rPr>
        <w:t>to</w:t>
      </w:r>
      <w:r w:rsidRPr="00DD0F47">
        <w:rPr>
          <w:lang w:val="en-CA"/>
        </w:rPr>
        <w:t xml:space="preserve"> engender independence on the part of their users</w:t>
      </w:r>
      <w:r>
        <w:rPr>
          <w:lang w:val="en-CA"/>
        </w:rPr>
        <w:t xml:space="preserve"> at least as much as attachment. </w:t>
      </w:r>
      <w:r w:rsidRPr="00DD0F47">
        <w:rPr>
          <w:lang w:val="en-CA"/>
        </w:rPr>
        <w:t xml:space="preserve"> </w:t>
      </w:r>
    </w:p>
    <w:p w14:paraId="6B2BB3BE" w14:textId="77777777" w:rsidR="001D7EAE" w:rsidRDefault="001D7EAE" w:rsidP="001D7EAE">
      <w:pPr>
        <w:rPr>
          <w:lang w:val="en-CA"/>
        </w:rPr>
      </w:pPr>
    </w:p>
    <w:p w14:paraId="069B82A1" w14:textId="77777777" w:rsidR="001D7EAE" w:rsidRPr="001546A8" w:rsidRDefault="001D7EAE" w:rsidP="001546A8">
      <w:pPr>
        <w:keepNext/>
        <w:keepLines/>
        <w:pBdr>
          <w:top w:val="nil"/>
          <w:left w:val="nil"/>
          <w:bottom w:val="nil"/>
          <w:right w:val="nil"/>
          <w:between w:val="nil"/>
        </w:pBdr>
        <w:spacing w:after="200" w:line="240" w:lineRule="auto"/>
        <w:rPr>
          <w:b/>
          <w:color w:val="000000"/>
          <w:sz w:val="28"/>
          <w:szCs w:val="28"/>
        </w:rPr>
      </w:pPr>
      <w:r w:rsidRPr="001546A8">
        <w:rPr>
          <w:b/>
          <w:color w:val="000000"/>
          <w:sz w:val="28"/>
          <w:szCs w:val="28"/>
        </w:rPr>
        <w:t>6. Limitations and further research</w:t>
      </w:r>
    </w:p>
    <w:p w14:paraId="16EEFEAE" w14:textId="5B9BE5CB" w:rsidR="001D7EAE" w:rsidRDefault="001D7EAE" w:rsidP="001D7EAE">
      <w:pPr>
        <w:rPr>
          <w:lang w:val="en-CA"/>
        </w:rPr>
      </w:pPr>
      <w:r>
        <w:rPr>
          <w:lang w:val="en-CA"/>
        </w:rPr>
        <w:t xml:space="preserve">The love/breakup letter methodology was not without its limitations. </w:t>
      </w:r>
      <w:r w:rsidRPr="00DD0F47">
        <w:rPr>
          <w:lang w:val="en-CA"/>
        </w:rPr>
        <w:t>Future researchers considering</w:t>
      </w:r>
      <w:r>
        <w:rPr>
          <w:lang w:val="en-CA"/>
        </w:rPr>
        <w:t xml:space="preserve"> the method </w:t>
      </w:r>
      <w:r w:rsidRPr="00DD0F47">
        <w:rPr>
          <w:lang w:val="en-CA"/>
        </w:rPr>
        <w:t xml:space="preserve">for </w:t>
      </w:r>
      <w:r>
        <w:rPr>
          <w:lang w:val="en-CA"/>
        </w:rPr>
        <w:t>purposes</w:t>
      </w:r>
      <w:r w:rsidRPr="00DD0F47">
        <w:rPr>
          <w:lang w:val="en-CA"/>
        </w:rPr>
        <w:t xml:space="preserve"> of refining tutorial design should take note of the high proportion of </w:t>
      </w:r>
      <w:r>
        <w:rPr>
          <w:lang w:val="en-CA"/>
        </w:rPr>
        <w:t xml:space="preserve">generic, </w:t>
      </w:r>
      <w:r w:rsidRPr="00DD0F47">
        <w:rPr>
          <w:lang w:val="en-CA"/>
        </w:rPr>
        <w:t>non-actionable comments.</w:t>
      </w:r>
      <w:r>
        <w:rPr>
          <w:lang w:val="en-CA"/>
        </w:rPr>
        <w:t xml:space="preserve"> Similarly, </w:t>
      </w:r>
      <w:r w:rsidRPr="00385461">
        <w:rPr>
          <w:lang w:val="en-CA"/>
        </w:rPr>
        <w:t>Priestner (2018) warned researchers of the potential use of</w:t>
      </w:r>
      <w:r>
        <w:rPr>
          <w:lang w:val="en-CA"/>
        </w:rPr>
        <w:t xml:space="preserve"> less informative </w:t>
      </w:r>
      <w:r w:rsidRPr="00385461">
        <w:rPr>
          <w:lang w:val="en-CA"/>
        </w:rPr>
        <w:t xml:space="preserve">euphemisms by </w:t>
      </w:r>
      <w:r w:rsidR="00292183">
        <w:rPr>
          <w:lang w:val="en-CA"/>
        </w:rPr>
        <w:t>‘</w:t>
      </w:r>
      <w:r w:rsidRPr="00385461">
        <w:rPr>
          <w:lang w:val="en-CA"/>
        </w:rPr>
        <w:t>creative writers</w:t>
      </w:r>
      <w:r w:rsidR="00292183">
        <w:rPr>
          <w:lang w:val="en-CA"/>
        </w:rPr>
        <w:t>’</w:t>
      </w:r>
      <w:r w:rsidRPr="00385461">
        <w:rPr>
          <w:lang w:val="en-CA"/>
        </w:rPr>
        <w:t xml:space="preserve"> (p. 47).</w:t>
      </w:r>
      <w:r>
        <w:rPr>
          <w:lang w:val="en-CA"/>
        </w:rPr>
        <w:t xml:space="preserve"> Further</w:t>
      </w:r>
      <w:r w:rsidRPr="00DD0F47">
        <w:rPr>
          <w:lang w:val="en-CA"/>
        </w:rPr>
        <w:t>, sometimes the</w:t>
      </w:r>
      <w:r>
        <w:rPr>
          <w:lang w:val="en-CA"/>
        </w:rPr>
        <w:t xml:space="preserve"> creative</w:t>
      </w:r>
      <w:r w:rsidRPr="00DD0F47">
        <w:rPr>
          <w:lang w:val="en-CA"/>
        </w:rPr>
        <w:t xml:space="preserve"> </w:t>
      </w:r>
      <w:r>
        <w:rPr>
          <w:lang w:val="en-CA"/>
        </w:rPr>
        <w:t>language in the</w:t>
      </w:r>
      <w:r w:rsidRPr="00DD0F47">
        <w:rPr>
          <w:lang w:val="en-CA"/>
        </w:rPr>
        <w:t xml:space="preserve"> letter</w:t>
      </w:r>
      <w:r>
        <w:rPr>
          <w:lang w:val="en-CA"/>
        </w:rPr>
        <w:t>s</w:t>
      </w:r>
      <w:r w:rsidRPr="00DD0F47">
        <w:rPr>
          <w:lang w:val="en-CA"/>
        </w:rPr>
        <w:t xml:space="preserve"> actually obscured possible intent. Lines such as </w:t>
      </w:r>
      <w:r w:rsidR="00292183">
        <w:rPr>
          <w:lang w:val="en-CA"/>
        </w:rPr>
        <w:t>‘</w:t>
      </w:r>
      <w:r w:rsidRPr="00617E51">
        <w:rPr>
          <w:i/>
          <w:lang w:val="en-CA"/>
        </w:rPr>
        <w:t>I feel that you don't understand me anymore (…) I have to change myself to suit you</w:t>
      </w:r>
      <w:r w:rsidR="00292183">
        <w:rPr>
          <w:lang w:val="en-CA"/>
        </w:rPr>
        <w:t>’</w:t>
      </w:r>
      <w:r w:rsidRPr="00DD0F47">
        <w:rPr>
          <w:lang w:val="en-CA"/>
        </w:rPr>
        <w:t xml:space="preserve"> (Student # 17) added creativity to the exercise, but could also tempt researchers </w:t>
      </w:r>
      <w:r>
        <w:rPr>
          <w:lang w:val="en-CA"/>
        </w:rPr>
        <w:t>into overanalyzing</w:t>
      </w:r>
      <w:r w:rsidRPr="00DD0F47">
        <w:rPr>
          <w:lang w:val="en-CA"/>
        </w:rPr>
        <w:t xml:space="preserve"> what are simply personal relationship tropes</w:t>
      </w:r>
      <w:r>
        <w:rPr>
          <w:lang w:val="en-CA"/>
        </w:rPr>
        <w:t xml:space="preserve">. Finally, though the method proved adaptable in the evaluation of an </w:t>
      </w:r>
      <w:r w:rsidR="00D475C8">
        <w:rPr>
          <w:lang w:val="en-CA"/>
        </w:rPr>
        <w:t xml:space="preserve">IL </w:t>
      </w:r>
      <w:r>
        <w:rPr>
          <w:lang w:val="en-CA"/>
        </w:rPr>
        <w:t xml:space="preserve">tool, the authors posit that letter writing exercises addressed to intentionally habit-forming library services or tools such as bibliographic management software or study spaces could produce especially fruitful results. </w:t>
      </w:r>
    </w:p>
    <w:p w14:paraId="5BE29CE7" w14:textId="77777777" w:rsidR="009B0468" w:rsidRDefault="009B0468" w:rsidP="001D7EAE">
      <w:pPr>
        <w:rPr>
          <w:lang w:val="en-CA"/>
        </w:rPr>
      </w:pPr>
    </w:p>
    <w:p w14:paraId="69AD28C8" w14:textId="77777777" w:rsidR="001D7EAE" w:rsidRPr="00DD0F47" w:rsidRDefault="001D7EAE" w:rsidP="001D7EAE">
      <w:pPr>
        <w:rPr>
          <w:lang w:val="en-CA"/>
        </w:rPr>
      </w:pPr>
      <w:r>
        <w:rPr>
          <w:lang w:val="en-CA"/>
        </w:rPr>
        <w:t>In terms of the study’s design, a specific</w:t>
      </w:r>
      <w:r w:rsidRPr="00DD0F47">
        <w:rPr>
          <w:lang w:val="en-CA"/>
        </w:rPr>
        <w:t xml:space="preserve"> limitation is that evidence of students’ actual research trajectory or success</w:t>
      </w:r>
      <w:r>
        <w:rPr>
          <w:lang w:val="en-CA"/>
        </w:rPr>
        <w:t xml:space="preserve"> was not examined</w:t>
      </w:r>
      <w:r w:rsidRPr="00DD0F47">
        <w:rPr>
          <w:lang w:val="en-CA"/>
        </w:rPr>
        <w:t xml:space="preserve">. Further research might combine an affective instrument such as the one used here with analysis of research assignments and bibliographies, or of a detailed research diary (Tolland et al., 2019). </w:t>
      </w:r>
    </w:p>
    <w:p w14:paraId="33027D1D" w14:textId="77777777" w:rsidR="001D7EAE" w:rsidRPr="005104B6" w:rsidRDefault="001D7EAE" w:rsidP="001D7EAE">
      <w:pPr>
        <w:rPr>
          <w:lang w:val="en-CA"/>
        </w:rPr>
      </w:pPr>
    </w:p>
    <w:p w14:paraId="01869010" w14:textId="77777777" w:rsidR="001D7EAE" w:rsidRPr="001546A8" w:rsidRDefault="001D7EAE" w:rsidP="001546A8">
      <w:pPr>
        <w:keepNext/>
        <w:keepLines/>
        <w:pBdr>
          <w:top w:val="nil"/>
          <w:left w:val="nil"/>
          <w:bottom w:val="nil"/>
          <w:right w:val="nil"/>
          <w:between w:val="nil"/>
        </w:pBdr>
        <w:spacing w:after="200" w:line="240" w:lineRule="auto"/>
        <w:rPr>
          <w:b/>
          <w:color w:val="000000"/>
          <w:sz w:val="28"/>
          <w:szCs w:val="28"/>
        </w:rPr>
      </w:pPr>
      <w:r w:rsidRPr="001546A8">
        <w:rPr>
          <w:b/>
          <w:color w:val="000000"/>
          <w:sz w:val="28"/>
          <w:szCs w:val="28"/>
        </w:rPr>
        <w:t xml:space="preserve">7. Conclusion </w:t>
      </w:r>
    </w:p>
    <w:p w14:paraId="22517714" w14:textId="1FAA1FB7" w:rsidR="001D7EAE" w:rsidRDefault="001D7EAE" w:rsidP="001D7EAE">
      <w:pPr>
        <w:rPr>
          <w:lang w:val="en-CA"/>
        </w:rPr>
      </w:pPr>
      <w:r w:rsidRPr="00A542CF">
        <w:rPr>
          <w:lang w:val="en-CA"/>
        </w:rPr>
        <w:t xml:space="preserve">This study sought to determine whether students would find a freestanding online research skills tutorial useful if recommended to them as an aide while working on a research assignment, and whether </w:t>
      </w:r>
      <w:r>
        <w:rPr>
          <w:lang w:val="en-CA"/>
        </w:rPr>
        <w:t xml:space="preserve">qualitative analysis of </w:t>
      </w:r>
      <w:r w:rsidRPr="00A542CF">
        <w:rPr>
          <w:lang w:val="en-CA"/>
        </w:rPr>
        <w:t xml:space="preserve">love/break up letters to that tutorial would provide unique and helpful </w:t>
      </w:r>
      <w:r>
        <w:rPr>
          <w:lang w:val="en-CA"/>
        </w:rPr>
        <w:t>results</w:t>
      </w:r>
      <w:r w:rsidRPr="00A542CF">
        <w:rPr>
          <w:lang w:val="en-CA"/>
        </w:rPr>
        <w:t>.</w:t>
      </w:r>
      <w:r>
        <w:rPr>
          <w:lang w:val="en-CA"/>
        </w:rPr>
        <w:t xml:space="preserve"> </w:t>
      </w:r>
    </w:p>
    <w:p w14:paraId="5C8F6221" w14:textId="77777777" w:rsidR="009B0468" w:rsidRDefault="009B0468" w:rsidP="001D7EAE">
      <w:pPr>
        <w:rPr>
          <w:lang w:val="en-CA"/>
        </w:rPr>
      </w:pPr>
    </w:p>
    <w:p w14:paraId="3F3C9371" w14:textId="44E8C3CF" w:rsidR="009B0468" w:rsidRDefault="001D7EAE" w:rsidP="001D7EAE">
      <w:pPr>
        <w:rPr>
          <w:color w:val="000000"/>
        </w:rPr>
      </w:pPr>
      <w:r>
        <w:rPr>
          <w:lang w:val="en-CA"/>
        </w:rPr>
        <w:t xml:space="preserve">Most </w:t>
      </w:r>
      <w:r w:rsidRPr="00365F99">
        <w:rPr>
          <w:color w:val="000000"/>
        </w:rPr>
        <w:t xml:space="preserve">students did not find the Library Research Skills tutorial useful when recommended to them for their research assignments. Comments in the letters support the notion that learning objects should </w:t>
      </w:r>
      <w:r>
        <w:rPr>
          <w:color w:val="000000"/>
        </w:rPr>
        <w:t>aim to</w:t>
      </w:r>
      <w:r w:rsidRPr="00365F99">
        <w:rPr>
          <w:color w:val="000000"/>
        </w:rPr>
        <w:t xml:space="preserve"> quickly answer specific questions rather than </w:t>
      </w:r>
      <w:r>
        <w:rPr>
          <w:color w:val="000000"/>
        </w:rPr>
        <w:t xml:space="preserve">offer </w:t>
      </w:r>
      <w:r w:rsidR="00D475C8">
        <w:rPr>
          <w:color w:val="000000"/>
        </w:rPr>
        <w:t>IL</w:t>
      </w:r>
      <w:r w:rsidRPr="00365F99">
        <w:rPr>
          <w:color w:val="000000"/>
        </w:rPr>
        <w:t xml:space="preserve"> lessons. They also indicate that regardless of quality, online teaching tools will not prove useful to students who simply want to find resources nor to those who feel they do not need instruction. </w:t>
      </w:r>
      <w:r w:rsidRPr="00DA7CCF">
        <w:rPr>
          <w:color w:val="000000"/>
        </w:rPr>
        <w:t>The</w:t>
      </w:r>
      <w:r>
        <w:rPr>
          <w:color w:val="000000"/>
        </w:rPr>
        <w:t xml:space="preserve">se </w:t>
      </w:r>
      <w:r w:rsidRPr="00DA7CCF">
        <w:rPr>
          <w:color w:val="000000"/>
        </w:rPr>
        <w:t>findings</w:t>
      </w:r>
      <w:r>
        <w:rPr>
          <w:color w:val="000000"/>
        </w:rPr>
        <w:t xml:space="preserve"> should </w:t>
      </w:r>
      <w:r w:rsidRPr="00DA7CCF">
        <w:rPr>
          <w:color w:val="000000"/>
        </w:rPr>
        <w:t xml:space="preserve">have implications for </w:t>
      </w:r>
      <w:r w:rsidR="00D475C8">
        <w:rPr>
          <w:color w:val="000000"/>
        </w:rPr>
        <w:t>IL</w:t>
      </w:r>
      <w:r w:rsidRPr="00DA7CCF">
        <w:rPr>
          <w:color w:val="000000"/>
        </w:rPr>
        <w:t xml:space="preserve"> professionals </w:t>
      </w:r>
      <w:r>
        <w:rPr>
          <w:color w:val="000000"/>
        </w:rPr>
        <w:t xml:space="preserve">assessing </w:t>
      </w:r>
      <w:r w:rsidRPr="00DA7CCF">
        <w:rPr>
          <w:color w:val="000000"/>
        </w:rPr>
        <w:t xml:space="preserve">their approach to tutorial </w:t>
      </w:r>
      <w:r>
        <w:rPr>
          <w:color w:val="000000"/>
        </w:rPr>
        <w:t>conceptualization</w:t>
      </w:r>
      <w:r w:rsidRPr="00DA7CCF">
        <w:rPr>
          <w:color w:val="000000"/>
        </w:rPr>
        <w:t xml:space="preserve"> or re</w:t>
      </w:r>
      <w:r>
        <w:rPr>
          <w:color w:val="000000"/>
        </w:rPr>
        <w:t xml:space="preserve">vision. </w:t>
      </w:r>
    </w:p>
    <w:p w14:paraId="6A6B6AA8" w14:textId="77777777" w:rsidR="009B0468" w:rsidRDefault="009B0468" w:rsidP="001D7EAE"/>
    <w:p w14:paraId="254E015C" w14:textId="77777777" w:rsidR="001D7EAE" w:rsidRPr="00E73DBC" w:rsidRDefault="001D7EAE" w:rsidP="001546A8">
      <w:r>
        <w:t>W</w:t>
      </w:r>
      <w:r w:rsidRPr="00B550B0">
        <w:t xml:space="preserve">riting personalized letters to the tutorial </w:t>
      </w:r>
      <w:r>
        <w:t>allowed p</w:t>
      </w:r>
      <w:r w:rsidRPr="00E73DBC">
        <w:t xml:space="preserve">articipants </w:t>
      </w:r>
      <w:r w:rsidRPr="00B550B0">
        <w:t xml:space="preserve">to express their feelings </w:t>
      </w:r>
      <w:r>
        <w:t xml:space="preserve">about a library tool in </w:t>
      </w:r>
      <w:r w:rsidRPr="00B550B0">
        <w:t>a creative and satisfying way</w:t>
      </w:r>
      <w:r>
        <w:t>, and qualitative analysis of these letters provided the researchers with a unique perspective on students’</w:t>
      </w:r>
      <w:r w:rsidRPr="00E73DBC">
        <w:t xml:space="preserve"> customary research habits</w:t>
      </w:r>
      <w:r>
        <w:t>. Indeed, t</w:t>
      </w:r>
      <w:r w:rsidRPr="00E73DBC">
        <w:t xml:space="preserve">he </w:t>
      </w:r>
      <w:r>
        <w:t xml:space="preserve">love/breakup letter </w:t>
      </w:r>
      <w:r w:rsidRPr="00E73DBC">
        <w:t>method offers promising opportunities for librarians seeking to understand the place of the library and its resources in the everyday lives of students</w:t>
      </w:r>
      <w:r>
        <w:rPr>
          <w:color w:val="000000"/>
        </w:rPr>
        <w:t xml:space="preserve">. </w:t>
      </w:r>
    </w:p>
    <w:p w14:paraId="3C96FB81" w14:textId="77777777" w:rsidR="001D7EAE" w:rsidRPr="005104B6" w:rsidRDefault="001D7EAE" w:rsidP="001D7EAE">
      <w:pPr>
        <w:rPr>
          <w:lang w:val="en-CA"/>
        </w:rPr>
      </w:pPr>
    </w:p>
    <w:p w14:paraId="073B543A" w14:textId="77777777" w:rsidR="001D7EAE" w:rsidRPr="001546A8" w:rsidRDefault="001D7EAE" w:rsidP="001546A8">
      <w:pPr>
        <w:pStyle w:val="Heading2"/>
        <w:spacing w:before="0" w:after="200"/>
        <w:rPr>
          <w:rFonts w:ascii="Arial" w:eastAsia="Arial" w:hAnsi="Arial" w:cs="Arial"/>
          <w:b/>
          <w:color w:val="000000"/>
          <w:sz w:val="28"/>
          <w:szCs w:val="28"/>
        </w:rPr>
      </w:pPr>
      <w:r w:rsidRPr="001546A8">
        <w:rPr>
          <w:rFonts w:ascii="Arial" w:eastAsia="Arial" w:hAnsi="Arial" w:cs="Arial"/>
          <w:b/>
          <w:color w:val="000000"/>
          <w:sz w:val="28"/>
          <w:szCs w:val="28"/>
        </w:rPr>
        <w:t xml:space="preserve">References </w:t>
      </w:r>
    </w:p>
    <w:p w14:paraId="0A1AF477" w14:textId="7F744100"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Befus, R., &amp; Byrne, K. (2011). </w:t>
      </w:r>
      <w:hyperlink r:id="rId18" w:history="1">
        <w:r w:rsidRPr="0012586B">
          <w:rPr>
            <w:rStyle w:val="Hyperlink"/>
            <w:lang w:val="en-CA"/>
          </w:rPr>
          <w:t>Redesigned with them in mind: Evaluating an online library information literacy tutorial</w:t>
        </w:r>
      </w:hyperlink>
      <w:r w:rsidRPr="005104B6">
        <w:rPr>
          <w:lang w:val="en-CA"/>
        </w:rPr>
        <w:t xml:space="preserve">. </w:t>
      </w:r>
      <w:r w:rsidRPr="005104B6">
        <w:rPr>
          <w:i/>
          <w:lang w:val="en-CA"/>
        </w:rPr>
        <w:t>Urban Library Journal</w:t>
      </w:r>
      <w:r w:rsidRPr="005104B6">
        <w:rPr>
          <w:lang w:val="en-CA"/>
        </w:rPr>
        <w:t xml:space="preserve">, </w:t>
      </w:r>
      <w:r w:rsidRPr="005104B6">
        <w:rPr>
          <w:i/>
          <w:lang w:val="en-CA"/>
        </w:rPr>
        <w:t>17</w:t>
      </w:r>
      <w:r w:rsidRPr="005104B6">
        <w:rPr>
          <w:lang w:val="en-CA"/>
        </w:rPr>
        <w:t xml:space="preserve">(1), 2. </w:t>
      </w:r>
    </w:p>
    <w:p w14:paraId="47211FF8" w14:textId="451CDDC2" w:rsidR="001D7EAE" w:rsidRPr="008E0E53" w:rsidRDefault="001D7EAE" w:rsidP="001546A8">
      <w:pPr>
        <w:widowControl w:val="0"/>
        <w:pBdr>
          <w:top w:val="nil"/>
          <w:left w:val="nil"/>
          <w:bottom w:val="nil"/>
          <w:right w:val="nil"/>
          <w:between w:val="nil"/>
        </w:pBdr>
        <w:spacing w:before="240" w:line="240" w:lineRule="auto"/>
        <w:rPr>
          <w:lang w:val="de-DE"/>
        </w:rPr>
      </w:pPr>
      <w:r w:rsidRPr="008E0E53">
        <w:rPr>
          <w:lang w:val="de-DE"/>
        </w:rPr>
        <w:t xml:space="preserve">Bender, L. J., &amp; Rosen, J. M. (1998). </w:t>
      </w:r>
      <w:hyperlink r:id="rId19" w:history="1">
        <w:r w:rsidRPr="0012586B">
          <w:rPr>
            <w:rStyle w:val="Hyperlink"/>
            <w:lang w:val="en-CA"/>
          </w:rPr>
          <w:t>Working toward scalable instruction: Creating the RIO tutorial at the university of Arizona Library</w:t>
        </w:r>
      </w:hyperlink>
      <w:r w:rsidRPr="005104B6">
        <w:rPr>
          <w:lang w:val="en-CA"/>
        </w:rPr>
        <w:t xml:space="preserve">. </w:t>
      </w:r>
      <w:r w:rsidRPr="008E0E53">
        <w:rPr>
          <w:i/>
          <w:lang w:val="de-DE"/>
        </w:rPr>
        <w:t>Research Strategies</w:t>
      </w:r>
      <w:r w:rsidRPr="008E0E53">
        <w:rPr>
          <w:lang w:val="de-DE"/>
        </w:rPr>
        <w:t xml:space="preserve">, </w:t>
      </w:r>
      <w:r w:rsidRPr="008E0E53">
        <w:rPr>
          <w:i/>
          <w:lang w:val="de-DE"/>
        </w:rPr>
        <w:t>16</w:t>
      </w:r>
      <w:r w:rsidRPr="008E0E53">
        <w:rPr>
          <w:lang w:val="de-DE"/>
        </w:rPr>
        <w:t xml:space="preserve">(4), 315–325. </w:t>
      </w:r>
    </w:p>
    <w:p w14:paraId="5CD44369" w14:textId="7A811558" w:rsidR="001D7EAE" w:rsidRPr="005104B6" w:rsidRDefault="001D7EAE" w:rsidP="001546A8">
      <w:pPr>
        <w:widowControl w:val="0"/>
        <w:pBdr>
          <w:top w:val="nil"/>
          <w:left w:val="nil"/>
          <w:bottom w:val="nil"/>
          <w:right w:val="nil"/>
          <w:between w:val="nil"/>
        </w:pBdr>
        <w:spacing w:before="240" w:line="240" w:lineRule="auto"/>
        <w:rPr>
          <w:lang w:val="en-CA"/>
        </w:rPr>
      </w:pPr>
      <w:r w:rsidRPr="008E0E53">
        <w:rPr>
          <w:lang w:val="de-DE"/>
        </w:rPr>
        <w:t xml:space="preserve">Blummer, B. A., &amp; Kritskaya, O. (2009). </w:t>
      </w:r>
      <w:hyperlink r:id="rId20" w:history="1">
        <w:r w:rsidRPr="0012586B">
          <w:rPr>
            <w:rStyle w:val="Hyperlink"/>
            <w:lang w:val="en-CA"/>
          </w:rPr>
          <w:t>Best practices for creating an online tutorial: A literature review</w:t>
        </w:r>
      </w:hyperlink>
      <w:r w:rsidRPr="005104B6">
        <w:rPr>
          <w:lang w:val="en-CA"/>
        </w:rPr>
        <w:t xml:space="preserve">. </w:t>
      </w:r>
      <w:r w:rsidRPr="005104B6">
        <w:rPr>
          <w:i/>
          <w:lang w:val="en-CA"/>
        </w:rPr>
        <w:t>Journal of Web Librarianship</w:t>
      </w:r>
      <w:r w:rsidRPr="005104B6">
        <w:rPr>
          <w:lang w:val="en-CA"/>
        </w:rPr>
        <w:t xml:space="preserve">, </w:t>
      </w:r>
      <w:r w:rsidRPr="005104B6">
        <w:rPr>
          <w:i/>
          <w:lang w:val="en-CA"/>
        </w:rPr>
        <w:t>3</w:t>
      </w:r>
      <w:r w:rsidRPr="005104B6">
        <w:rPr>
          <w:lang w:val="en-CA"/>
        </w:rPr>
        <w:t xml:space="preserve">(3), 199–216. </w:t>
      </w:r>
    </w:p>
    <w:p w14:paraId="562AF693" w14:textId="313FDFFF"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Bowles-Terry, M., Hensley, M. K., &amp; Hinchliffe, L. J. (2010). </w:t>
      </w:r>
      <w:hyperlink r:id="rId21" w:history="1">
        <w:r w:rsidRPr="0012586B">
          <w:rPr>
            <w:rStyle w:val="Hyperlink"/>
            <w:lang w:val="en-CA"/>
          </w:rPr>
          <w:t>Best practices for online video tutorials in academic libraries: A study of student preferences and understanding</w:t>
        </w:r>
      </w:hyperlink>
      <w:r w:rsidRPr="005104B6">
        <w:rPr>
          <w:lang w:val="en-CA"/>
        </w:rPr>
        <w:t xml:space="preserve">. </w:t>
      </w:r>
      <w:r w:rsidRPr="005104B6">
        <w:rPr>
          <w:i/>
          <w:lang w:val="en-CA"/>
        </w:rPr>
        <w:t>Communications in Information Literacy</w:t>
      </w:r>
      <w:r w:rsidRPr="005104B6">
        <w:rPr>
          <w:lang w:val="en-CA"/>
        </w:rPr>
        <w:t xml:space="preserve">, </w:t>
      </w:r>
      <w:r w:rsidRPr="005104B6">
        <w:rPr>
          <w:i/>
          <w:lang w:val="en-CA"/>
        </w:rPr>
        <w:t>4</w:t>
      </w:r>
      <w:r w:rsidRPr="005104B6">
        <w:rPr>
          <w:lang w:val="en-CA"/>
        </w:rPr>
        <w:t xml:space="preserve">(1), 17–28. </w:t>
      </w:r>
    </w:p>
    <w:p w14:paraId="494240AA" w14:textId="14418960"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Brook, C., Browne, C., &amp; Lewis, E. (2019) </w:t>
      </w:r>
      <w:hyperlink r:id="rId22" w:history="1">
        <w:r w:rsidRPr="0012586B">
          <w:rPr>
            <w:rStyle w:val="Hyperlink"/>
            <w:i/>
            <w:lang w:val="en-CA"/>
          </w:rPr>
          <w:t>An ethnographic investigation into postgraduate researchers’ experience: University of Birmingham’s Library services</w:t>
        </w:r>
      </w:hyperlink>
      <w:r w:rsidRPr="005104B6">
        <w:rPr>
          <w:lang w:val="en-CA"/>
        </w:rPr>
        <w:t xml:space="preserve">. University of Birmingham. </w:t>
      </w:r>
    </w:p>
    <w:p w14:paraId="0DB79CBE" w14:textId="568054C9"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Bury, S., &amp; Oud, J. (2005). </w:t>
      </w:r>
      <w:hyperlink r:id="rId23" w:history="1">
        <w:r w:rsidRPr="0012586B">
          <w:rPr>
            <w:rStyle w:val="Hyperlink"/>
            <w:lang w:val="en-CA"/>
          </w:rPr>
          <w:t>Usability testing of an online information literacy tutorial</w:t>
        </w:r>
      </w:hyperlink>
      <w:r w:rsidRPr="005104B6">
        <w:rPr>
          <w:lang w:val="en-CA"/>
        </w:rPr>
        <w:t xml:space="preserve">. </w:t>
      </w:r>
      <w:r w:rsidRPr="005104B6">
        <w:rPr>
          <w:i/>
          <w:lang w:val="en-CA"/>
        </w:rPr>
        <w:t>Reference Services Review</w:t>
      </w:r>
      <w:r w:rsidRPr="005104B6">
        <w:rPr>
          <w:lang w:val="en-CA"/>
        </w:rPr>
        <w:t xml:space="preserve">, </w:t>
      </w:r>
      <w:r w:rsidRPr="005104B6">
        <w:rPr>
          <w:i/>
          <w:lang w:val="en-CA"/>
        </w:rPr>
        <w:t>33</w:t>
      </w:r>
      <w:r w:rsidRPr="005104B6">
        <w:rPr>
          <w:lang w:val="en-CA"/>
        </w:rPr>
        <w:t xml:space="preserve">(1), 54–65. </w:t>
      </w:r>
    </w:p>
    <w:p w14:paraId="5804D67A" w14:textId="04915541"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Colosimo, A. L., &amp; Kasuto, E. (2012). </w:t>
      </w:r>
      <w:hyperlink r:id="rId24" w:history="1">
        <w:r w:rsidRPr="0012586B">
          <w:rPr>
            <w:rStyle w:val="Hyperlink"/>
            <w:lang w:val="en-CA"/>
          </w:rPr>
          <w:t>Library video tutorials to support large undergraduate labs: Will they watch?</w:t>
        </w:r>
      </w:hyperlink>
      <w:r w:rsidRPr="005104B6">
        <w:rPr>
          <w:lang w:val="en-CA"/>
        </w:rPr>
        <w:t xml:space="preserve"> </w:t>
      </w:r>
      <w:r w:rsidRPr="005104B6">
        <w:rPr>
          <w:i/>
          <w:lang w:val="en-CA"/>
        </w:rPr>
        <w:t>Issues in Science and Technology Librarianship</w:t>
      </w:r>
      <w:r w:rsidRPr="005104B6">
        <w:rPr>
          <w:lang w:val="en-CA"/>
        </w:rPr>
        <w:t xml:space="preserve">, </w:t>
      </w:r>
      <w:r w:rsidRPr="005104B6">
        <w:rPr>
          <w:i/>
          <w:lang w:val="en-CA"/>
        </w:rPr>
        <w:t>68</w:t>
      </w:r>
      <w:r w:rsidRPr="005104B6">
        <w:rPr>
          <w:lang w:val="en-CA"/>
        </w:rPr>
        <w:t xml:space="preserve">. </w:t>
      </w:r>
    </w:p>
    <w:p w14:paraId="4CA4DBAA" w14:textId="475E37D9" w:rsidR="001D7EAE" w:rsidRDefault="001D7EAE" w:rsidP="001546A8">
      <w:pPr>
        <w:widowControl w:val="0"/>
        <w:pBdr>
          <w:top w:val="nil"/>
          <w:left w:val="nil"/>
          <w:bottom w:val="nil"/>
          <w:right w:val="nil"/>
          <w:between w:val="nil"/>
        </w:pBdr>
        <w:spacing w:before="240" w:line="240" w:lineRule="auto"/>
        <w:rPr>
          <w:lang w:val="en-CA"/>
        </w:rPr>
      </w:pPr>
      <w:r w:rsidRPr="002F2F28">
        <w:rPr>
          <w:lang w:val="en-CA"/>
        </w:rPr>
        <w:t xml:space="preserve">Dennie, D., &amp; Breier, S. (2018). </w:t>
      </w:r>
      <w:hyperlink r:id="rId25" w:history="1">
        <w:r w:rsidRPr="0012586B">
          <w:rPr>
            <w:rStyle w:val="Hyperlink"/>
            <w:i/>
            <w:lang w:val="en-CA"/>
          </w:rPr>
          <w:t>Love and break-up letters to a library research skills tutorial</w:t>
        </w:r>
      </w:hyperlink>
      <w:r w:rsidRPr="002F2F28">
        <w:rPr>
          <w:lang w:val="en-CA"/>
        </w:rPr>
        <w:t xml:space="preserve"> (Version 1) [Data set]. Scholars Portal Dataverse. </w:t>
      </w:r>
    </w:p>
    <w:p w14:paraId="6B8BDE53" w14:textId="4BF9C097"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Donaldson, K. A. (2000). </w:t>
      </w:r>
      <w:hyperlink r:id="rId26" w:history="1">
        <w:r w:rsidRPr="0012586B">
          <w:rPr>
            <w:rStyle w:val="Hyperlink"/>
            <w:lang w:val="en-CA"/>
          </w:rPr>
          <w:t>Library research success: Designing an online tutorial to teach information literacy skills to first-year students</w:t>
        </w:r>
      </w:hyperlink>
      <w:r w:rsidRPr="005104B6">
        <w:rPr>
          <w:lang w:val="en-CA"/>
        </w:rPr>
        <w:t xml:space="preserve">. </w:t>
      </w:r>
      <w:r w:rsidRPr="005104B6">
        <w:rPr>
          <w:i/>
          <w:lang w:val="en-CA"/>
        </w:rPr>
        <w:t>The Internet and Higher Education</w:t>
      </w:r>
      <w:r w:rsidRPr="005104B6">
        <w:rPr>
          <w:lang w:val="en-CA"/>
        </w:rPr>
        <w:t xml:space="preserve">, </w:t>
      </w:r>
      <w:r w:rsidRPr="005104B6">
        <w:rPr>
          <w:i/>
          <w:lang w:val="en-CA"/>
        </w:rPr>
        <w:t>2</w:t>
      </w:r>
      <w:r w:rsidRPr="005104B6">
        <w:rPr>
          <w:lang w:val="en-CA"/>
        </w:rPr>
        <w:t xml:space="preserve">(4), 237–251. </w:t>
      </w:r>
    </w:p>
    <w:p w14:paraId="6FDD009F" w14:textId="254E6808" w:rsidR="001D7EAE" w:rsidRPr="008E0E53" w:rsidRDefault="001D7EAE" w:rsidP="001546A8">
      <w:pPr>
        <w:widowControl w:val="0"/>
        <w:pBdr>
          <w:top w:val="nil"/>
          <w:left w:val="nil"/>
          <w:bottom w:val="nil"/>
          <w:right w:val="nil"/>
          <w:between w:val="nil"/>
        </w:pBdr>
        <w:spacing w:before="240" w:line="240" w:lineRule="auto"/>
        <w:rPr>
          <w:lang w:val="de-DE"/>
        </w:rPr>
      </w:pPr>
      <w:r w:rsidRPr="005104B6">
        <w:rPr>
          <w:lang w:val="en-CA"/>
        </w:rPr>
        <w:lastRenderedPageBreak/>
        <w:t xml:space="preserve">Farkas, M. (2014, September 11). </w:t>
      </w:r>
      <w:hyperlink r:id="rId27" w:history="1">
        <w:r w:rsidRPr="0012586B">
          <w:rPr>
            <w:rStyle w:val="Hyperlink"/>
            <w:i/>
            <w:lang w:val="en-CA"/>
          </w:rPr>
          <w:t>Sustainable information literacy instruction</w:t>
        </w:r>
      </w:hyperlink>
      <w:r w:rsidRPr="005104B6">
        <w:rPr>
          <w:i/>
          <w:lang w:val="en-CA"/>
        </w:rPr>
        <w:t xml:space="preserve">. </w:t>
      </w:r>
      <w:r w:rsidRPr="005104B6">
        <w:rPr>
          <w:lang w:val="en-CA"/>
        </w:rPr>
        <w:t xml:space="preserve">Florida Library Webinars. </w:t>
      </w:r>
    </w:p>
    <w:p w14:paraId="0C6DD850" w14:textId="4A57CC88" w:rsidR="001D7EAE" w:rsidRPr="005104B6" w:rsidRDefault="001D7EAE" w:rsidP="001546A8">
      <w:pPr>
        <w:widowControl w:val="0"/>
        <w:pBdr>
          <w:top w:val="nil"/>
          <w:left w:val="nil"/>
          <w:bottom w:val="nil"/>
          <w:right w:val="nil"/>
          <w:between w:val="nil"/>
        </w:pBdr>
        <w:spacing w:before="240" w:line="240" w:lineRule="auto"/>
        <w:rPr>
          <w:lang w:val="en-CA"/>
        </w:rPr>
      </w:pPr>
      <w:r w:rsidRPr="008E0E53">
        <w:rPr>
          <w:lang w:val="de-DE"/>
        </w:rPr>
        <w:t xml:space="preserve">Gerber, E. M. (2012). </w:t>
      </w:r>
      <w:hyperlink r:id="rId28" w:history="1">
        <w:r w:rsidRPr="0012586B">
          <w:rPr>
            <w:rStyle w:val="Hyperlink"/>
            <w:lang w:val="en-CA"/>
          </w:rPr>
          <w:t>Tech break ups: A research method for understanding technological attachment</w:t>
        </w:r>
      </w:hyperlink>
      <w:r w:rsidRPr="005104B6">
        <w:rPr>
          <w:lang w:val="en-CA"/>
        </w:rPr>
        <w:t xml:space="preserve">. </w:t>
      </w:r>
      <w:r w:rsidRPr="005104B6">
        <w:rPr>
          <w:i/>
          <w:lang w:val="en-CA"/>
        </w:rPr>
        <w:t>Interactions</w:t>
      </w:r>
      <w:r w:rsidRPr="005104B6">
        <w:rPr>
          <w:lang w:val="en-CA"/>
        </w:rPr>
        <w:t xml:space="preserve">, </w:t>
      </w:r>
      <w:r w:rsidRPr="005104B6">
        <w:rPr>
          <w:i/>
          <w:lang w:val="en-CA"/>
        </w:rPr>
        <w:t>19</w:t>
      </w:r>
      <w:r w:rsidRPr="005104B6">
        <w:rPr>
          <w:lang w:val="en-CA"/>
        </w:rPr>
        <w:t xml:space="preserve">(5), 26–30. </w:t>
      </w:r>
    </w:p>
    <w:p w14:paraId="6D1034F9" w14:textId="645C7740" w:rsidR="001D7EAE"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Green, C. (2017, February 21). </w:t>
      </w:r>
      <w:hyperlink r:id="rId29" w:history="1">
        <w:r w:rsidRPr="0012586B">
          <w:rPr>
            <w:rStyle w:val="Hyperlink"/>
            <w:i/>
            <w:lang w:val="en-CA"/>
          </w:rPr>
          <w:t xml:space="preserve">Love and break-up letters to the </w:t>
        </w:r>
        <w:r w:rsidR="0012586B" w:rsidRPr="0012586B">
          <w:rPr>
            <w:rStyle w:val="Hyperlink"/>
            <w:i/>
            <w:lang w:val="en-CA"/>
          </w:rPr>
          <w:t>l</w:t>
        </w:r>
        <w:r w:rsidRPr="0012586B">
          <w:rPr>
            <w:rStyle w:val="Hyperlink"/>
            <w:i/>
            <w:lang w:val="en-CA"/>
          </w:rPr>
          <w:t>ibrary</w:t>
        </w:r>
      </w:hyperlink>
      <w:r w:rsidRPr="005104B6">
        <w:rPr>
          <w:lang w:val="en-CA"/>
        </w:rPr>
        <w:t xml:space="preserve">. University of Kent. </w:t>
      </w:r>
    </w:p>
    <w:p w14:paraId="21CD3257" w14:textId="131CDD99" w:rsidR="001D7EAE" w:rsidRPr="005104B6" w:rsidRDefault="001D7EAE" w:rsidP="001546A8">
      <w:pPr>
        <w:widowControl w:val="0"/>
        <w:pBdr>
          <w:top w:val="nil"/>
          <w:left w:val="nil"/>
          <w:bottom w:val="nil"/>
          <w:right w:val="nil"/>
          <w:between w:val="nil"/>
        </w:pBdr>
        <w:spacing w:before="240" w:line="240" w:lineRule="auto"/>
        <w:rPr>
          <w:lang w:val="en-CA"/>
        </w:rPr>
      </w:pPr>
      <w:r>
        <w:rPr>
          <w:lang w:val="en-CA"/>
        </w:rPr>
        <w:t xml:space="preserve">Gregory, K. (2018). </w:t>
      </w:r>
      <w:hyperlink r:id="rId30" w:history="1">
        <w:r w:rsidRPr="0012586B">
          <w:rPr>
            <w:rStyle w:val="Hyperlink"/>
            <w:i/>
            <w:lang w:val="en-CA"/>
          </w:rPr>
          <w:t>Digital skills in the library pilot</w:t>
        </w:r>
      </w:hyperlink>
      <w:r>
        <w:rPr>
          <w:lang w:val="en-CA"/>
        </w:rPr>
        <w:t xml:space="preserve">. </w:t>
      </w:r>
      <w:r w:rsidRPr="008F1EE2">
        <w:rPr>
          <w:lang w:val="en-CA"/>
        </w:rPr>
        <w:t xml:space="preserve">Sheffield </w:t>
      </w:r>
    </w:p>
    <w:p w14:paraId="5810ED13" w14:textId="72B133CB"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Gross, M., &amp; Latham, D. (2009). </w:t>
      </w:r>
      <w:hyperlink r:id="rId31" w:history="1">
        <w:r w:rsidRPr="0012586B">
          <w:rPr>
            <w:rStyle w:val="Hyperlink"/>
            <w:lang w:val="en-CA"/>
          </w:rPr>
          <w:t>Undergraduate perceptions of information literacy: Defining, attaining, and self-assessing skills</w:t>
        </w:r>
      </w:hyperlink>
      <w:r w:rsidRPr="005104B6">
        <w:rPr>
          <w:lang w:val="en-CA"/>
        </w:rPr>
        <w:t xml:space="preserve">. </w:t>
      </w:r>
      <w:r w:rsidRPr="005104B6">
        <w:rPr>
          <w:i/>
          <w:lang w:val="en-CA"/>
        </w:rPr>
        <w:t>College &amp; Research Libraries</w:t>
      </w:r>
      <w:r w:rsidRPr="005104B6">
        <w:rPr>
          <w:lang w:val="en-CA"/>
        </w:rPr>
        <w:t xml:space="preserve">, </w:t>
      </w:r>
      <w:r w:rsidRPr="005104B6">
        <w:rPr>
          <w:i/>
          <w:lang w:val="en-CA"/>
        </w:rPr>
        <w:t>70</w:t>
      </w:r>
      <w:r w:rsidRPr="005104B6">
        <w:rPr>
          <w:lang w:val="en-CA"/>
        </w:rPr>
        <w:t xml:space="preserve">(4), 336–350. </w:t>
      </w:r>
    </w:p>
    <w:p w14:paraId="1C63D7F5" w14:textId="1471F42E"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Gross, M., &amp; Latham, D. (2012). </w:t>
      </w:r>
      <w:hyperlink r:id="rId32" w:history="1">
        <w:r w:rsidRPr="0012586B">
          <w:rPr>
            <w:rStyle w:val="Hyperlink"/>
            <w:lang w:val="en-CA"/>
          </w:rPr>
          <w:t>What’s skill got to do with it?: Information literacy skills and self</w:t>
        </w:r>
        <w:r w:rsidRPr="0012586B">
          <w:rPr>
            <w:rStyle w:val="Hyperlink"/>
            <w:rFonts w:ascii="Cambria Math" w:hAnsi="Cambria Math" w:cs="Cambria Math"/>
            <w:lang w:val="en-CA"/>
          </w:rPr>
          <w:t>‐</w:t>
        </w:r>
        <w:r w:rsidRPr="0012586B">
          <w:rPr>
            <w:rStyle w:val="Hyperlink"/>
            <w:lang w:val="en-CA"/>
          </w:rPr>
          <w:t>views of ability among first</w:t>
        </w:r>
        <w:r w:rsidRPr="0012586B">
          <w:rPr>
            <w:rStyle w:val="Hyperlink"/>
            <w:rFonts w:ascii="Cambria Math" w:hAnsi="Cambria Math" w:cs="Cambria Math"/>
            <w:lang w:val="en-CA"/>
          </w:rPr>
          <w:t>‐</w:t>
        </w:r>
        <w:r w:rsidRPr="0012586B">
          <w:rPr>
            <w:rStyle w:val="Hyperlink"/>
            <w:lang w:val="en-CA"/>
          </w:rPr>
          <w:t>year college students</w:t>
        </w:r>
      </w:hyperlink>
      <w:r w:rsidRPr="005104B6">
        <w:rPr>
          <w:lang w:val="en-CA"/>
        </w:rPr>
        <w:t xml:space="preserve">. </w:t>
      </w:r>
      <w:r w:rsidRPr="005104B6">
        <w:rPr>
          <w:i/>
          <w:lang w:val="en-CA"/>
        </w:rPr>
        <w:t>Journal of the Association for Information Science and Technology</w:t>
      </w:r>
      <w:r w:rsidRPr="005104B6">
        <w:rPr>
          <w:lang w:val="en-CA"/>
        </w:rPr>
        <w:t xml:space="preserve">, </w:t>
      </w:r>
      <w:r w:rsidRPr="005104B6">
        <w:rPr>
          <w:i/>
          <w:lang w:val="en-CA"/>
        </w:rPr>
        <w:t>63</w:t>
      </w:r>
      <w:r w:rsidRPr="005104B6">
        <w:rPr>
          <w:lang w:val="en-CA"/>
        </w:rPr>
        <w:t xml:space="preserve">(3), 574–583. </w:t>
      </w:r>
    </w:p>
    <w:p w14:paraId="3D60949E" w14:textId="706CAE91" w:rsidR="001D7EAE" w:rsidRPr="005104B6" w:rsidRDefault="001D7EAE" w:rsidP="001546A8">
      <w:pPr>
        <w:widowControl w:val="0"/>
        <w:pBdr>
          <w:top w:val="nil"/>
          <w:left w:val="nil"/>
          <w:bottom w:val="nil"/>
          <w:right w:val="nil"/>
          <w:between w:val="nil"/>
        </w:pBdr>
        <w:tabs>
          <w:tab w:val="left" w:pos="540"/>
        </w:tabs>
        <w:spacing w:before="240" w:line="240" w:lineRule="auto"/>
        <w:rPr>
          <w:lang w:val="en-CA"/>
        </w:rPr>
      </w:pPr>
      <w:r w:rsidRPr="005104B6">
        <w:rPr>
          <w:lang w:val="en-CA"/>
        </w:rPr>
        <w:t xml:space="preserve">Hartog, P. A. (2018). </w:t>
      </w:r>
      <w:hyperlink r:id="rId33" w:history="1">
        <w:r w:rsidRPr="0012586B">
          <w:rPr>
            <w:rStyle w:val="Hyperlink"/>
            <w:lang w:val="en-CA"/>
          </w:rPr>
          <w:t>Online library tutorials: A literature review</w:t>
        </w:r>
      </w:hyperlink>
      <w:r w:rsidRPr="005104B6">
        <w:rPr>
          <w:lang w:val="en-CA"/>
        </w:rPr>
        <w:t xml:space="preserve">. </w:t>
      </w:r>
      <w:r w:rsidRPr="005104B6">
        <w:rPr>
          <w:i/>
          <w:lang w:val="en-CA"/>
        </w:rPr>
        <w:t>The Christian Librarian</w:t>
      </w:r>
      <w:r w:rsidRPr="005104B6">
        <w:rPr>
          <w:lang w:val="en-CA"/>
        </w:rPr>
        <w:t xml:space="preserve">, </w:t>
      </w:r>
      <w:r w:rsidRPr="005104B6">
        <w:rPr>
          <w:i/>
          <w:lang w:val="en-CA"/>
        </w:rPr>
        <w:t>61</w:t>
      </w:r>
      <w:r w:rsidRPr="005104B6">
        <w:rPr>
          <w:lang w:val="en-CA"/>
        </w:rPr>
        <w:t xml:space="preserve">(2), 224–235. </w:t>
      </w:r>
    </w:p>
    <w:p w14:paraId="3D32373B" w14:textId="0ED863B5" w:rsidR="001D7EAE"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Held, T., &amp; Gil-Trejo, L. (2016). </w:t>
      </w:r>
      <w:hyperlink r:id="rId34" w:history="1">
        <w:r w:rsidRPr="0012586B">
          <w:rPr>
            <w:rStyle w:val="Hyperlink"/>
            <w:lang w:val="en-CA"/>
          </w:rPr>
          <w:t>Students weigh in: Usability test of online library tutorials</w:t>
        </w:r>
      </w:hyperlink>
      <w:r w:rsidRPr="005104B6">
        <w:rPr>
          <w:lang w:val="en-CA"/>
        </w:rPr>
        <w:t xml:space="preserve">. </w:t>
      </w:r>
      <w:r w:rsidRPr="005104B6">
        <w:rPr>
          <w:i/>
          <w:lang w:val="en-CA"/>
        </w:rPr>
        <w:t>Internet Reference Services Quarterly</w:t>
      </w:r>
      <w:r w:rsidRPr="005104B6">
        <w:rPr>
          <w:lang w:val="en-CA"/>
        </w:rPr>
        <w:t xml:space="preserve">, </w:t>
      </w:r>
      <w:r w:rsidRPr="005104B6">
        <w:rPr>
          <w:i/>
          <w:lang w:val="en-CA"/>
        </w:rPr>
        <w:t>21</w:t>
      </w:r>
      <w:r w:rsidRPr="005104B6">
        <w:rPr>
          <w:lang w:val="en-CA"/>
        </w:rPr>
        <w:t>(1</w:t>
      </w:r>
      <w:r w:rsidR="00292183">
        <w:rPr>
          <w:lang w:val="en-CA"/>
        </w:rPr>
        <w:t>-</w:t>
      </w:r>
      <w:r w:rsidRPr="005104B6">
        <w:rPr>
          <w:lang w:val="en-CA"/>
        </w:rPr>
        <w:t>2), 1</w:t>
      </w:r>
      <w:r w:rsidR="00292183">
        <w:rPr>
          <w:lang w:val="en-CA"/>
        </w:rPr>
        <w:t>-</w:t>
      </w:r>
      <w:r w:rsidRPr="005104B6">
        <w:rPr>
          <w:lang w:val="en-CA"/>
        </w:rPr>
        <w:t xml:space="preserve">21. </w:t>
      </w:r>
    </w:p>
    <w:p w14:paraId="4A7DB75D" w14:textId="106EFC0C" w:rsidR="001D7EAE" w:rsidRPr="005104B6" w:rsidRDefault="001D7EAE" w:rsidP="001546A8">
      <w:pPr>
        <w:widowControl w:val="0"/>
        <w:pBdr>
          <w:top w:val="nil"/>
          <w:left w:val="nil"/>
          <w:bottom w:val="nil"/>
          <w:right w:val="nil"/>
          <w:between w:val="nil"/>
        </w:pBdr>
        <w:spacing w:before="240" w:line="240" w:lineRule="auto"/>
        <w:rPr>
          <w:lang w:val="en-CA"/>
        </w:rPr>
      </w:pPr>
      <w:r>
        <w:rPr>
          <w:lang w:val="en-CA"/>
        </w:rPr>
        <w:t xml:space="preserve">Irving, K. (2020, July 20). </w:t>
      </w:r>
      <w:hyperlink r:id="rId35" w:history="1">
        <w:r w:rsidRPr="0012586B">
          <w:rPr>
            <w:rStyle w:val="Hyperlink"/>
            <w:i/>
            <w:lang w:val="en-CA"/>
          </w:rPr>
          <w:t>Central Library - You Said, We Did</w:t>
        </w:r>
      </w:hyperlink>
      <w:r>
        <w:rPr>
          <w:lang w:val="en-CA"/>
        </w:rPr>
        <w:t xml:space="preserve">. Imperial College London. </w:t>
      </w:r>
    </w:p>
    <w:p w14:paraId="53F037F6" w14:textId="099ABDC6"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Janesick, V. J. (2015). </w:t>
      </w:r>
      <w:hyperlink r:id="rId36" w:history="1">
        <w:r w:rsidRPr="0012586B">
          <w:rPr>
            <w:rStyle w:val="Hyperlink"/>
            <w:lang w:val="en-CA"/>
          </w:rPr>
          <w:t>Peer debriefing</w:t>
        </w:r>
      </w:hyperlink>
      <w:r w:rsidRPr="005104B6">
        <w:rPr>
          <w:lang w:val="en-CA"/>
        </w:rPr>
        <w:t xml:space="preserve">. In </w:t>
      </w:r>
      <w:r w:rsidRPr="005104B6">
        <w:rPr>
          <w:i/>
          <w:lang w:val="en-CA"/>
        </w:rPr>
        <w:t>The Blackwell encyclopedia of sociology</w:t>
      </w:r>
      <w:r w:rsidRPr="005104B6">
        <w:rPr>
          <w:lang w:val="en-CA"/>
        </w:rPr>
        <w:t xml:space="preserve">. Blackwell Publications. </w:t>
      </w:r>
    </w:p>
    <w:p w14:paraId="419FB5A7" w14:textId="1890E480" w:rsidR="001D7EAE" w:rsidRDefault="001D7EAE" w:rsidP="001546A8">
      <w:pPr>
        <w:widowControl w:val="0"/>
        <w:pBdr>
          <w:top w:val="nil"/>
          <w:left w:val="nil"/>
          <w:bottom w:val="nil"/>
          <w:right w:val="nil"/>
          <w:between w:val="nil"/>
        </w:pBdr>
        <w:spacing w:before="240" w:line="240" w:lineRule="auto"/>
        <w:rPr>
          <w:lang w:val="en-CA"/>
        </w:rPr>
      </w:pPr>
      <w:bookmarkStart w:id="4" w:name="_heading=h.gjdgxs" w:colFirst="0" w:colLast="0"/>
      <w:bookmarkEnd w:id="4"/>
      <w:r w:rsidRPr="00E011D0">
        <w:rPr>
          <w:lang w:val="en-CA"/>
        </w:rPr>
        <w:t>Leslie</w:t>
      </w:r>
      <w:r>
        <w:rPr>
          <w:lang w:val="en-CA"/>
        </w:rPr>
        <w:t>, S.</w:t>
      </w:r>
      <w:r w:rsidRPr="00E011D0">
        <w:rPr>
          <w:lang w:val="en-CA"/>
        </w:rPr>
        <w:t xml:space="preserve"> (2017)</w:t>
      </w:r>
      <w:r>
        <w:rPr>
          <w:lang w:val="en-CA"/>
        </w:rPr>
        <w:t>.</w:t>
      </w:r>
      <w:r w:rsidRPr="00E011D0">
        <w:rPr>
          <w:lang w:val="en-CA"/>
        </w:rPr>
        <w:t xml:space="preserve"> </w:t>
      </w:r>
      <w:hyperlink r:id="rId37" w:history="1">
        <w:r w:rsidRPr="0012586B">
          <w:rPr>
            <w:rStyle w:val="Hyperlink"/>
            <w:lang w:val="en-CA"/>
          </w:rPr>
          <w:t>Designing an interactive web-based tutorial for health sciences students: A collaborative library project</w:t>
        </w:r>
      </w:hyperlink>
      <w:r>
        <w:rPr>
          <w:lang w:val="en-CA"/>
        </w:rPr>
        <w:t>.</w:t>
      </w:r>
      <w:r w:rsidRPr="00E011D0">
        <w:rPr>
          <w:lang w:val="en-CA"/>
        </w:rPr>
        <w:t xml:space="preserve"> </w:t>
      </w:r>
      <w:r w:rsidRPr="00E73DBC">
        <w:rPr>
          <w:i/>
          <w:lang w:val="en-CA"/>
        </w:rPr>
        <w:t>Medical Reference Services Quarterly</w:t>
      </w:r>
      <w:r w:rsidRPr="00E011D0">
        <w:rPr>
          <w:lang w:val="en-CA"/>
        </w:rPr>
        <w:t xml:space="preserve">, </w:t>
      </w:r>
      <w:r w:rsidRPr="00E73DBC">
        <w:rPr>
          <w:i/>
          <w:lang w:val="en-CA"/>
        </w:rPr>
        <w:t>36</w:t>
      </w:r>
      <w:r>
        <w:rPr>
          <w:lang w:val="en-CA"/>
        </w:rPr>
        <w:t>(</w:t>
      </w:r>
      <w:r w:rsidRPr="00E011D0">
        <w:rPr>
          <w:lang w:val="en-CA"/>
        </w:rPr>
        <w:t>1</w:t>
      </w:r>
      <w:r>
        <w:rPr>
          <w:lang w:val="en-CA"/>
        </w:rPr>
        <w:t>),</w:t>
      </w:r>
      <w:r w:rsidRPr="00E011D0">
        <w:rPr>
          <w:lang w:val="en-CA"/>
        </w:rPr>
        <w:t xml:space="preserve"> 90-96</w:t>
      </w:r>
      <w:r>
        <w:rPr>
          <w:lang w:val="en-CA"/>
        </w:rPr>
        <w:t xml:space="preserve">. </w:t>
      </w:r>
    </w:p>
    <w:p w14:paraId="2708A6FB" w14:textId="6DCACFC0"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Mahmood, K. (2016). </w:t>
      </w:r>
      <w:hyperlink r:id="rId38" w:history="1">
        <w:r w:rsidRPr="001546A8">
          <w:rPr>
            <w:rStyle w:val="Hyperlink"/>
            <w:lang w:val="en-CA"/>
          </w:rPr>
          <w:t>Do people overestimate their information literacy skills? A systematic review of empirical evidence on the Dunning-Kruger effect</w:t>
        </w:r>
      </w:hyperlink>
      <w:r w:rsidRPr="005104B6">
        <w:rPr>
          <w:lang w:val="en-CA"/>
        </w:rPr>
        <w:t xml:space="preserve">. </w:t>
      </w:r>
      <w:r w:rsidRPr="005104B6">
        <w:rPr>
          <w:i/>
          <w:lang w:val="en-CA"/>
        </w:rPr>
        <w:t>Communications in Information Literacy, 10</w:t>
      </w:r>
      <w:r w:rsidRPr="005104B6">
        <w:rPr>
          <w:lang w:val="en-CA"/>
        </w:rPr>
        <w:t xml:space="preserve">(2), 199–213. </w:t>
      </w:r>
    </w:p>
    <w:p w14:paraId="11FAA076" w14:textId="77777777"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Martin, B., &amp; Hanington, B. (2012). The love letter &amp; the breakup letter. In </w:t>
      </w:r>
      <w:r w:rsidRPr="005104B6">
        <w:rPr>
          <w:i/>
          <w:lang w:val="en-CA"/>
        </w:rPr>
        <w:t>Universal methods of design</w:t>
      </w:r>
      <w:r w:rsidRPr="005104B6">
        <w:rPr>
          <w:lang w:val="en-CA"/>
        </w:rPr>
        <w:t xml:space="preserve"> (pp. 114–115). Rockport Publishers.</w:t>
      </w:r>
    </w:p>
    <w:p w14:paraId="56EA87F6" w14:textId="26E301DA"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Mery, Y., DeFrain, E., Kline, E., &amp; Sult, L. (2014). </w:t>
      </w:r>
      <w:hyperlink r:id="rId39" w:history="1">
        <w:r w:rsidRPr="001546A8">
          <w:rPr>
            <w:rStyle w:val="Hyperlink"/>
            <w:lang w:val="en-CA"/>
          </w:rPr>
          <w:t>Evaluating the effectiveness of tools for online database instruction</w:t>
        </w:r>
      </w:hyperlink>
      <w:r w:rsidRPr="005104B6">
        <w:rPr>
          <w:lang w:val="en-CA"/>
        </w:rPr>
        <w:t xml:space="preserve">. </w:t>
      </w:r>
      <w:r w:rsidRPr="005104B6">
        <w:rPr>
          <w:i/>
          <w:lang w:val="en-CA"/>
        </w:rPr>
        <w:t>Communications in Information Literacy</w:t>
      </w:r>
      <w:r w:rsidRPr="005104B6">
        <w:rPr>
          <w:lang w:val="en-CA"/>
        </w:rPr>
        <w:t xml:space="preserve">, </w:t>
      </w:r>
      <w:r w:rsidRPr="005104B6">
        <w:rPr>
          <w:i/>
          <w:lang w:val="en-CA"/>
        </w:rPr>
        <w:t>8</w:t>
      </w:r>
      <w:r w:rsidRPr="005104B6">
        <w:rPr>
          <w:lang w:val="en-CA"/>
        </w:rPr>
        <w:t xml:space="preserve">(1), 70–81. </w:t>
      </w:r>
    </w:p>
    <w:p w14:paraId="7E6ED1F0" w14:textId="4D03D3D9" w:rsidR="001D7EAE"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Mestre, L. S. (2012). </w:t>
      </w:r>
      <w:hyperlink r:id="rId40" w:history="1">
        <w:r w:rsidRPr="001546A8">
          <w:rPr>
            <w:rStyle w:val="Hyperlink"/>
            <w:lang w:val="en-CA"/>
          </w:rPr>
          <w:t>Student preference for tutorial design: A usability study</w:t>
        </w:r>
      </w:hyperlink>
      <w:r w:rsidRPr="005104B6">
        <w:rPr>
          <w:lang w:val="en-CA"/>
        </w:rPr>
        <w:t xml:space="preserve">. </w:t>
      </w:r>
      <w:r w:rsidRPr="005104B6">
        <w:rPr>
          <w:i/>
          <w:lang w:val="en-CA"/>
        </w:rPr>
        <w:t>Reference Services Review</w:t>
      </w:r>
      <w:r w:rsidRPr="005104B6">
        <w:rPr>
          <w:lang w:val="en-CA"/>
        </w:rPr>
        <w:t xml:space="preserve">, </w:t>
      </w:r>
      <w:r w:rsidRPr="005104B6">
        <w:rPr>
          <w:i/>
          <w:lang w:val="en-CA"/>
        </w:rPr>
        <w:t>40</w:t>
      </w:r>
      <w:r w:rsidRPr="005104B6">
        <w:rPr>
          <w:lang w:val="en-CA"/>
        </w:rPr>
        <w:t xml:space="preserve">(2), 258–276. </w:t>
      </w:r>
    </w:p>
    <w:p w14:paraId="7C78E1C4" w14:textId="6073940E" w:rsidR="001D7EAE" w:rsidRPr="005104B6" w:rsidRDefault="001D7EAE" w:rsidP="001546A8">
      <w:pPr>
        <w:widowControl w:val="0"/>
        <w:pBdr>
          <w:top w:val="nil"/>
          <w:left w:val="nil"/>
          <w:bottom w:val="nil"/>
          <w:right w:val="nil"/>
          <w:between w:val="nil"/>
        </w:pBdr>
        <w:spacing w:before="240" w:line="240" w:lineRule="auto"/>
        <w:rPr>
          <w:lang w:val="en-CA"/>
        </w:rPr>
      </w:pPr>
      <w:r>
        <w:rPr>
          <w:lang w:val="en-CA"/>
        </w:rPr>
        <w:t xml:space="preserve">Nichols </w:t>
      </w:r>
      <w:r w:rsidRPr="00A2047D">
        <w:rPr>
          <w:lang w:val="en-CA"/>
        </w:rPr>
        <w:t>Hess, A</w:t>
      </w:r>
      <w:r>
        <w:rPr>
          <w:lang w:val="en-CA"/>
        </w:rPr>
        <w:t xml:space="preserve">. &amp; </w:t>
      </w:r>
      <w:r w:rsidRPr="00A2047D">
        <w:rPr>
          <w:lang w:val="en-CA"/>
        </w:rPr>
        <w:t xml:space="preserve">Hristova, M. (2016). </w:t>
      </w:r>
      <w:hyperlink r:id="rId41" w:history="1">
        <w:r w:rsidRPr="001546A8">
          <w:rPr>
            <w:rStyle w:val="Hyperlink"/>
            <w:lang w:val="en-CA"/>
          </w:rPr>
          <w:t>To search or to browse: How users navigate a new interface for online library tutorials</w:t>
        </w:r>
      </w:hyperlink>
      <w:r w:rsidRPr="00A2047D">
        <w:rPr>
          <w:lang w:val="en-CA"/>
        </w:rPr>
        <w:t xml:space="preserve">. </w:t>
      </w:r>
      <w:r w:rsidRPr="00E73DBC">
        <w:rPr>
          <w:i/>
          <w:lang w:val="en-CA"/>
        </w:rPr>
        <w:t>College &amp; Undergraduate Libraries</w:t>
      </w:r>
      <w:r w:rsidRPr="00A2047D">
        <w:rPr>
          <w:lang w:val="en-CA"/>
        </w:rPr>
        <w:t xml:space="preserve">, </w:t>
      </w:r>
      <w:r w:rsidRPr="00E73DBC">
        <w:rPr>
          <w:i/>
          <w:lang w:val="en-CA"/>
        </w:rPr>
        <w:t>23</w:t>
      </w:r>
      <w:r w:rsidRPr="00A2047D">
        <w:rPr>
          <w:lang w:val="en-CA"/>
        </w:rPr>
        <w:t xml:space="preserve">(2), 168–183. </w:t>
      </w:r>
    </w:p>
    <w:p w14:paraId="447A0687" w14:textId="17818FBA"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Noe, N. W., &amp; Bishop, B. A. (2005). </w:t>
      </w:r>
      <w:hyperlink r:id="rId42" w:history="1">
        <w:r w:rsidRPr="001546A8">
          <w:rPr>
            <w:rStyle w:val="Hyperlink"/>
            <w:lang w:val="en-CA"/>
          </w:rPr>
          <w:t>Assessing Auburn University Library’s Tiger Information Literacy Tutorial (TILT)</w:t>
        </w:r>
      </w:hyperlink>
      <w:r w:rsidRPr="005104B6">
        <w:rPr>
          <w:lang w:val="en-CA"/>
        </w:rPr>
        <w:t xml:space="preserve">. </w:t>
      </w:r>
      <w:r w:rsidRPr="005104B6">
        <w:rPr>
          <w:i/>
          <w:lang w:val="en-CA"/>
        </w:rPr>
        <w:t>Reference Services Review</w:t>
      </w:r>
      <w:r w:rsidRPr="005104B6">
        <w:rPr>
          <w:lang w:val="en-CA"/>
        </w:rPr>
        <w:t xml:space="preserve">, </w:t>
      </w:r>
      <w:r w:rsidRPr="005104B6">
        <w:rPr>
          <w:i/>
          <w:lang w:val="en-CA"/>
        </w:rPr>
        <w:t>33</w:t>
      </w:r>
      <w:r w:rsidRPr="005104B6">
        <w:rPr>
          <w:lang w:val="en-CA"/>
        </w:rPr>
        <w:t xml:space="preserve">(2), 173–187. </w:t>
      </w:r>
    </w:p>
    <w:p w14:paraId="1859394B" w14:textId="26D6BF9C"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Parker, J. (2017). </w:t>
      </w:r>
      <w:hyperlink r:id="rId43" w:history="1">
        <w:r w:rsidRPr="001546A8">
          <w:rPr>
            <w:rStyle w:val="Hyperlink"/>
            <w:i/>
            <w:lang w:val="en-CA"/>
          </w:rPr>
          <w:t>‘Digital by design’: Piloting the digital capability discovery tool: The Open University</w:t>
        </w:r>
      </w:hyperlink>
      <w:r w:rsidRPr="005104B6">
        <w:rPr>
          <w:lang w:val="en-CA"/>
        </w:rPr>
        <w:t xml:space="preserve">. </w:t>
      </w:r>
    </w:p>
    <w:p w14:paraId="31F7BA54" w14:textId="176F6086"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Phillips, L., &amp; Kearley, J. (2003). </w:t>
      </w:r>
      <w:hyperlink r:id="rId44" w:history="1">
        <w:r w:rsidRPr="001546A8">
          <w:rPr>
            <w:rStyle w:val="Hyperlink"/>
            <w:lang w:val="en-CA"/>
          </w:rPr>
          <w:t>TIP: Tutorial for information power and campus</w:t>
        </w:r>
        <w:r w:rsidRPr="001546A8">
          <w:rPr>
            <w:rStyle w:val="Hyperlink"/>
            <w:rFonts w:ascii="Cambria Math" w:hAnsi="Cambria Math" w:cs="Cambria Math"/>
            <w:lang w:val="en-CA"/>
          </w:rPr>
          <w:t>‐</w:t>
        </w:r>
        <w:r w:rsidRPr="001546A8">
          <w:rPr>
            <w:rStyle w:val="Hyperlink"/>
            <w:lang w:val="en-CA"/>
          </w:rPr>
          <w:t>wide information literacy</w:t>
        </w:r>
      </w:hyperlink>
      <w:r w:rsidRPr="005104B6">
        <w:rPr>
          <w:lang w:val="en-CA"/>
        </w:rPr>
        <w:t xml:space="preserve">. </w:t>
      </w:r>
      <w:r w:rsidRPr="005104B6">
        <w:rPr>
          <w:i/>
          <w:lang w:val="en-CA"/>
        </w:rPr>
        <w:t>Reference Services Review</w:t>
      </w:r>
      <w:r w:rsidRPr="005104B6">
        <w:rPr>
          <w:lang w:val="en-CA"/>
        </w:rPr>
        <w:t xml:space="preserve">, </w:t>
      </w:r>
      <w:r w:rsidRPr="005104B6">
        <w:rPr>
          <w:i/>
          <w:lang w:val="en-CA"/>
        </w:rPr>
        <w:t>31</w:t>
      </w:r>
      <w:r w:rsidRPr="005104B6">
        <w:rPr>
          <w:lang w:val="en-CA"/>
        </w:rPr>
        <w:t xml:space="preserve">(4), 351–358. </w:t>
      </w:r>
    </w:p>
    <w:p w14:paraId="07B3F851" w14:textId="77777777" w:rsidR="001D7EAE" w:rsidRDefault="001D7EAE" w:rsidP="001546A8">
      <w:pPr>
        <w:widowControl w:val="0"/>
        <w:pBdr>
          <w:top w:val="nil"/>
          <w:left w:val="nil"/>
          <w:bottom w:val="nil"/>
          <w:right w:val="nil"/>
          <w:between w:val="nil"/>
        </w:pBdr>
        <w:spacing w:before="240" w:line="240" w:lineRule="auto"/>
        <w:rPr>
          <w:lang w:val="en-CA"/>
        </w:rPr>
      </w:pPr>
      <w:r w:rsidRPr="005104B6">
        <w:rPr>
          <w:lang w:val="en-CA"/>
        </w:rPr>
        <w:lastRenderedPageBreak/>
        <w:t xml:space="preserve">Plano Clark, V. L., &amp; Creswell, J. W. (2015). </w:t>
      </w:r>
      <w:r w:rsidRPr="005104B6">
        <w:rPr>
          <w:i/>
          <w:lang w:val="en-CA"/>
        </w:rPr>
        <w:t>Understanding research: A consumer’s guide</w:t>
      </w:r>
      <w:r w:rsidRPr="005104B6">
        <w:rPr>
          <w:lang w:val="en-CA"/>
        </w:rPr>
        <w:t xml:space="preserve"> (</w:t>
      </w:r>
      <w:r>
        <w:rPr>
          <w:lang w:val="en-CA"/>
        </w:rPr>
        <w:t>2</w:t>
      </w:r>
      <w:r w:rsidRPr="00E73DBC">
        <w:rPr>
          <w:vertAlign w:val="superscript"/>
          <w:lang w:val="en-CA"/>
        </w:rPr>
        <w:t>nd</w:t>
      </w:r>
      <w:r>
        <w:rPr>
          <w:lang w:val="en-CA"/>
        </w:rPr>
        <w:t xml:space="preserve"> ed.</w:t>
      </w:r>
      <w:r w:rsidRPr="005104B6">
        <w:rPr>
          <w:lang w:val="en-CA"/>
        </w:rPr>
        <w:t>). Pearson Education Inc.</w:t>
      </w:r>
    </w:p>
    <w:p w14:paraId="1E4A0010" w14:textId="0F9621B7" w:rsidR="001D7EAE" w:rsidRPr="008E0E53" w:rsidRDefault="001D7EAE" w:rsidP="001546A8">
      <w:pPr>
        <w:widowControl w:val="0"/>
        <w:pBdr>
          <w:top w:val="nil"/>
          <w:left w:val="nil"/>
          <w:bottom w:val="nil"/>
          <w:right w:val="nil"/>
          <w:between w:val="nil"/>
        </w:pBdr>
        <w:spacing w:before="240" w:line="240" w:lineRule="auto"/>
        <w:rPr>
          <w:lang w:val="fr-CA"/>
        </w:rPr>
      </w:pPr>
      <w:r w:rsidRPr="00DD0F47">
        <w:rPr>
          <w:lang w:val="en-CA"/>
        </w:rPr>
        <w:t>Priestner, A. (2018, October</w:t>
      </w:r>
      <w:r w:rsidRPr="00292183">
        <w:rPr>
          <w:lang w:val="en-CA"/>
        </w:rPr>
        <w:t xml:space="preserve">). </w:t>
      </w:r>
      <w:hyperlink r:id="rId45" w:history="1">
        <w:r w:rsidRPr="00292183">
          <w:rPr>
            <w:rStyle w:val="Hyperlink"/>
            <w:lang w:val="en-CA"/>
          </w:rPr>
          <w:t>Love letters straight to your library</w:t>
        </w:r>
      </w:hyperlink>
      <w:r w:rsidRPr="00DD0F47">
        <w:rPr>
          <w:lang w:val="en-CA"/>
        </w:rPr>
        <w:t xml:space="preserve">. </w:t>
      </w:r>
      <w:r w:rsidRPr="00E73DBC">
        <w:rPr>
          <w:i/>
          <w:lang w:val="fr-CA"/>
        </w:rPr>
        <w:t>Information Professional</w:t>
      </w:r>
      <w:r w:rsidRPr="008E0E53">
        <w:rPr>
          <w:lang w:val="fr-CA"/>
        </w:rPr>
        <w:t xml:space="preserve">. 46-47. </w:t>
      </w:r>
    </w:p>
    <w:p w14:paraId="17F127FA" w14:textId="6DCFD160" w:rsidR="001D7EAE" w:rsidRPr="005104B6" w:rsidRDefault="001D7EAE" w:rsidP="001546A8">
      <w:pPr>
        <w:widowControl w:val="0"/>
        <w:pBdr>
          <w:top w:val="nil"/>
          <w:left w:val="nil"/>
          <w:bottom w:val="nil"/>
          <w:right w:val="nil"/>
          <w:between w:val="nil"/>
        </w:pBdr>
        <w:spacing w:before="240" w:line="240" w:lineRule="auto"/>
        <w:rPr>
          <w:lang w:val="en-CA"/>
        </w:rPr>
      </w:pPr>
      <w:r w:rsidRPr="008E0E53">
        <w:rPr>
          <w:lang w:val="fr-CA"/>
        </w:rPr>
        <w:t xml:space="preserve">Rapchak, M. E. (2017). </w:t>
      </w:r>
      <w:hyperlink r:id="rId46" w:history="1">
        <w:r w:rsidRPr="001546A8">
          <w:rPr>
            <w:rStyle w:val="Hyperlink"/>
            <w:lang w:val="en-CA"/>
          </w:rPr>
          <w:t>Is your tutorial pretty or pretty useless? Creating effective tutorials with the principles of multimedia learning</w:t>
        </w:r>
      </w:hyperlink>
      <w:r w:rsidRPr="005104B6">
        <w:rPr>
          <w:lang w:val="en-CA"/>
        </w:rPr>
        <w:t xml:space="preserve">. </w:t>
      </w:r>
      <w:r w:rsidRPr="005104B6">
        <w:rPr>
          <w:i/>
          <w:lang w:val="en-CA"/>
        </w:rPr>
        <w:t>Journal of Library &amp; Information Services in Distance Learning</w:t>
      </w:r>
      <w:r w:rsidRPr="005104B6">
        <w:rPr>
          <w:lang w:val="en-CA"/>
        </w:rPr>
        <w:t xml:space="preserve">, </w:t>
      </w:r>
      <w:r w:rsidRPr="005104B6">
        <w:rPr>
          <w:i/>
          <w:lang w:val="en-CA"/>
        </w:rPr>
        <w:t>11</w:t>
      </w:r>
      <w:r w:rsidRPr="005104B6">
        <w:rPr>
          <w:lang w:val="en-CA"/>
        </w:rPr>
        <w:t xml:space="preserve">(1), 68–76. </w:t>
      </w:r>
    </w:p>
    <w:p w14:paraId="19976436" w14:textId="0109BE22"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Rothera, H. (2015). </w:t>
      </w:r>
      <w:hyperlink r:id="rId47" w:history="1">
        <w:r w:rsidRPr="001546A8">
          <w:rPr>
            <w:rStyle w:val="Hyperlink"/>
            <w:lang w:val="en-CA"/>
          </w:rPr>
          <w:t>Picking up the cool tools: Working with strategic students to get bite-sized information literacy tutorials created, promoted, embedded, remembered and used</w:t>
        </w:r>
      </w:hyperlink>
      <w:r w:rsidRPr="005104B6">
        <w:rPr>
          <w:lang w:val="en-CA"/>
        </w:rPr>
        <w:t xml:space="preserve">. </w:t>
      </w:r>
      <w:r w:rsidRPr="005104B6">
        <w:rPr>
          <w:i/>
          <w:lang w:val="en-CA"/>
        </w:rPr>
        <w:t>Journal of Information Literacy</w:t>
      </w:r>
      <w:r w:rsidRPr="005104B6">
        <w:rPr>
          <w:lang w:val="en-CA"/>
        </w:rPr>
        <w:t xml:space="preserve">, </w:t>
      </w:r>
      <w:r w:rsidRPr="005104B6">
        <w:rPr>
          <w:i/>
          <w:lang w:val="en-CA"/>
        </w:rPr>
        <w:t>9</w:t>
      </w:r>
      <w:r w:rsidRPr="005104B6">
        <w:rPr>
          <w:lang w:val="en-CA"/>
        </w:rPr>
        <w:t xml:space="preserve">(2), 37–61. </w:t>
      </w:r>
    </w:p>
    <w:p w14:paraId="5FEC1C8B" w14:textId="35044CF9"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Saunders, L. (2018). </w:t>
      </w:r>
      <w:hyperlink r:id="rId48" w:history="1">
        <w:r w:rsidRPr="001546A8">
          <w:rPr>
            <w:rStyle w:val="Hyperlink"/>
            <w:lang w:val="en-CA"/>
          </w:rPr>
          <w:t>Information literacy in practice: Content and delivery of library instruction tutorials</w:t>
        </w:r>
      </w:hyperlink>
      <w:r w:rsidRPr="005104B6">
        <w:rPr>
          <w:lang w:val="en-CA"/>
        </w:rPr>
        <w:t xml:space="preserve">. </w:t>
      </w:r>
      <w:r w:rsidRPr="005104B6">
        <w:rPr>
          <w:i/>
          <w:lang w:val="en-CA"/>
        </w:rPr>
        <w:t>The Journal of Academic Librarianship</w:t>
      </w:r>
      <w:r w:rsidRPr="005104B6">
        <w:rPr>
          <w:lang w:val="en-CA"/>
        </w:rPr>
        <w:t xml:space="preserve">, </w:t>
      </w:r>
      <w:r w:rsidRPr="005104B6">
        <w:rPr>
          <w:i/>
          <w:lang w:val="en-CA"/>
        </w:rPr>
        <w:t>44</w:t>
      </w:r>
      <w:r w:rsidRPr="005104B6">
        <w:rPr>
          <w:lang w:val="en-CA"/>
        </w:rPr>
        <w:t xml:space="preserve">(2), 269–278. </w:t>
      </w:r>
    </w:p>
    <w:p w14:paraId="000FF1CB" w14:textId="2F17898A" w:rsidR="001D7EAE" w:rsidRPr="005104B6" w:rsidRDefault="001D7EAE" w:rsidP="001546A8">
      <w:pPr>
        <w:widowControl w:val="0"/>
        <w:pBdr>
          <w:top w:val="nil"/>
          <w:left w:val="nil"/>
          <w:bottom w:val="nil"/>
          <w:right w:val="nil"/>
          <w:between w:val="nil"/>
        </w:pBdr>
        <w:spacing w:before="240" w:line="240" w:lineRule="auto"/>
        <w:rPr>
          <w:lang w:val="en-CA"/>
        </w:rPr>
      </w:pPr>
      <w:r w:rsidRPr="008E0E53">
        <w:rPr>
          <w:lang w:val="fr-CA"/>
        </w:rPr>
        <w:t xml:space="preserve">Scales, B. J., Nicol, E., &amp; Johnson, C. M. (2014). </w:t>
      </w:r>
      <w:hyperlink r:id="rId49" w:history="1">
        <w:r w:rsidRPr="001546A8">
          <w:rPr>
            <w:rStyle w:val="Hyperlink"/>
            <w:lang w:val="en-CA"/>
          </w:rPr>
          <w:t>Redesigning comprehensive library tutorials</w:t>
        </w:r>
      </w:hyperlink>
      <w:r w:rsidRPr="005104B6">
        <w:rPr>
          <w:lang w:val="en-CA"/>
        </w:rPr>
        <w:t xml:space="preserve">. </w:t>
      </w:r>
      <w:r w:rsidRPr="005104B6">
        <w:rPr>
          <w:i/>
          <w:lang w:val="en-CA"/>
        </w:rPr>
        <w:t>Reference &amp; User Services Quarterly</w:t>
      </w:r>
      <w:r w:rsidRPr="005104B6">
        <w:rPr>
          <w:lang w:val="en-CA"/>
        </w:rPr>
        <w:t xml:space="preserve">, </w:t>
      </w:r>
      <w:r w:rsidRPr="005104B6">
        <w:rPr>
          <w:i/>
          <w:lang w:val="en-CA"/>
        </w:rPr>
        <w:t>53</w:t>
      </w:r>
      <w:r w:rsidRPr="005104B6">
        <w:rPr>
          <w:lang w:val="en-CA"/>
        </w:rPr>
        <w:t xml:space="preserve">(3), 242–252. </w:t>
      </w:r>
    </w:p>
    <w:p w14:paraId="7EBB9E6E" w14:textId="77777777" w:rsidR="001D7EAE" w:rsidRPr="00832A17" w:rsidRDefault="001D7EAE" w:rsidP="001546A8">
      <w:pPr>
        <w:widowControl w:val="0"/>
        <w:pBdr>
          <w:top w:val="nil"/>
          <w:left w:val="nil"/>
          <w:bottom w:val="nil"/>
          <w:right w:val="nil"/>
          <w:between w:val="nil"/>
        </w:pBdr>
        <w:spacing w:before="240" w:line="240" w:lineRule="auto"/>
        <w:rPr>
          <w:color w:val="000000" w:themeColor="text1"/>
          <w:lang w:val="en-CA"/>
        </w:rPr>
      </w:pPr>
      <w:r w:rsidRPr="00832A17">
        <w:rPr>
          <w:color w:val="000000" w:themeColor="text1"/>
          <w:lang w:val="en-CA"/>
        </w:rPr>
        <w:t xml:space="preserve">Stiles, K. (2017). UX research with distance learners. In A. Priestner (Ed.), </w:t>
      </w:r>
      <w:r w:rsidRPr="00832A17">
        <w:rPr>
          <w:i/>
          <w:color w:val="000000" w:themeColor="text1"/>
          <w:lang w:val="en-CA"/>
        </w:rPr>
        <w:t>User experience in libraries yearbook 2017: Stories, techniques, insights</w:t>
      </w:r>
      <w:r w:rsidRPr="00832A17">
        <w:rPr>
          <w:color w:val="000000" w:themeColor="text1"/>
          <w:lang w:val="en-CA"/>
        </w:rPr>
        <w:t xml:space="preserve"> (pp. 127–131). CreateSpace Independent Publishing Platform. </w:t>
      </w:r>
    </w:p>
    <w:p w14:paraId="7EB9F02C" w14:textId="5616430F" w:rsidR="001D7EAE" w:rsidRPr="005104B6" w:rsidRDefault="001D7EAE" w:rsidP="001546A8">
      <w:pPr>
        <w:widowControl w:val="0"/>
        <w:pBdr>
          <w:top w:val="nil"/>
          <w:left w:val="nil"/>
          <w:bottom w:val="nil"/>
          <w:right w:val="nil"/>
          <w:between w:val="nil"/>
        </w:pBdr>
        <w:spacing w:before="240" w:line="240" w:lineRule="auto"/>
        <w:rPr>
          <w:lang w:val="en-CA"/>
        </w:rPr>
      </w:pPr>
      <w:r>
        <w:rPr>
          <w:lang w:val="en-CA"/>
        </w:rPr>
        <w:t xml:space="preserve">Texas Tech University. (2018). </w:t>
      </w:r>
      <w:hyperlink r:id="rId50" w:history="1">
        <w:r w:rsidRPr="001546A8">
          <w:rPr>
            <w:rStyle w:val="Hyperlink"/>
            <w:i/>
            <w:lang w:val="en-CA"/>
          </w:rPr>
          <w:t>Love letter to your library 2018</w:t>
        </w:r>
      </w:hyperlink>
      <w:r>
        <w:rPr>
          <w:lang w:val="en-CA"/>
        </w:rPr>
        <w:t xml:space="preserve">. </w:t>
      </w:r>
    </w:p>
    <w:p w14:paraId="3E3FCC88" w14:textId="0520CAF1"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Thomas, D. R. (2006). </w:t>
      </w:r>
      <w:hyperlink r:id="rId51" w:history="1">
        <w:r w:rsidRPr="001546A8">
          <w:rPr>
            <w:rStyle w:val="Hyperlink"/>
            <w:lang w:val="en-CA"/>
          </w:rPr>
          <w:t>A general inductive approach for analyzing qualitative evaluation data</w:t>
        </w:r>
      </w:hyperlink>
      <w:r w:rsidRPr="005104B6">
        <w:rPr>
          <w:lang w:val="en-CA"/>
        </w:rPr>
        <w:t xml:space="preserve">. </w:t>
      </w:r>
      <w:r w:rsidRPr="005104B6">
        <w:rPr>
          <w:i/>
          <w:lang w:val="en-CA"/>
        </w:rPr>
        <w:t>American Journal of Evaluation</w:t>
      </w:r>
      <w:r w:rsidRPr="005104B6">
        <w:rPr>
          <w:lang w:val="en-CA"/>
        </w:rPr>
        <w:t xml:space="preserve">, </w:t>
      </w:r>
      <w:r w:rsidRPr="005104B6">
        <w:rPr>
          <w:i/>
          <w:lang w:val="en-CA"/>
        </w:rPr>
        <w:t>27</w:t>
      </w:r>
      <w:r w:rsidRPr="005104B6">
        <w:rPr>
          <w:lang w:val="en-CA"/>
        </w:rPr>
        <w:t xml:space="preserve">(2), 237–246. </w:t>
      </w:r>
    </w:p>
    <w:p w14:paraId="309663AF" w14:textId="1C1C4F74"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Thornes, S. L. (2012). </w:t>
      </w:r>
      <w:hyperlink r:id="rId52" w:history="1">
        <w:r w:rsidRPr="001546A8">
          <w:rPr>
            <w:rStyle w:val="Hyperlink"/>
            <w:lang w:val="en-CA"/>
          </w:rPr>
          <w:t>Creating an online tutorial to support information literacy and academic skills development</w:t>
        </w:r>
      </w:hyperlink>
      <w:r w:rsidRPr="005104B6">
        <w:rPr>
          <w:lang w:val="en-CA"/>
        </w:rPr>
        <w:t xml:space="preserve">. </w:t>
      </w:r>
      <w:r w:rsidRPr="005104B6">
        <w:rPr>
          <w:i/>
          <w:lang w:val="en-CA"/>
        </w:rPr>
        <w:t>Journal of Information Literacy</w:t>
      </w:r>
      <w:r w:rsidRPr="005104B6">
        <w:rPr>
          <w:lang w:val="en-CA"/>
        </w:rPr>
        <w:t xml:space="preserve">, </w:t>
      </w:r>
      <w:r w:rsidRPr="005104B6">
        <w:rPr>
          <w:i/>
          <w:lang w:val="en-CA"/>
        </w:rPr>
        <w:t>6</w:t>
      </w:r>
      <w:r w:rsidRPr="005104B6">
        <w:rPr>
          <w:lang w:val="en-CA"/>
        </w:rPr>
        <w:t xml:space="preserve">(1), 81–95. </w:t>
      </w:r>
    </w:p>
    <w:p w14:paraId="147B0818" w14:textId="095EFCFE"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Tolland, A., Mogg, R., &amp; Bennett, A. (2019). </w:t>
      </w:r>
      <w:hyperlink r:id="rId53" w:history="1">
        <w:r w:rsidRPr="001546A8">
          <w:rPr>
            <w:rStyle w:val="Hyperlink"/>
            <w:lang w:val="en-CA"/>
          </w:rPr>
          <w:t>Using learning diaries to evaluate and improve online information literacy and academic skills provision</w:t>
        </w:r>
      </w:hyperlink>
      <w:r w:rsidRPr="005104B6">
        <w:rPr>
          <w:lang w:val="en-CA"/>
        </w:rPr>
        <w:t xml:space="preserve">. </w:t>
      </w:r>
      <w:r w:rsidRPr="005104B6">
        <w:rPr>
          <w:i/>
          <w:lang w:val="en-CA"/>
        </w:rPr>
        <w:t>Journal of Information Literacy, 13</w:t>
      </w:r>
      <w:r w:rsidRPr="005104B6">
        <w:rPr>
          <w:lang w:val="en-CA"/>
        </w:rPr>
        <w:t xml:space="preserve">(1), 76–92. </w:t>
      </w:r>
    </w:p>
    <w:p w14:paraId="4EF23A30" w14:textId="7C635273"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Tooman, C., &amp; Sibthorpe, J. (2012). </w:t>
      </w:r>
      <w:hyperlink r:id="rId54" w:history="1">
        <w:r w:rsidRPr="001546A8">
          <w:rPr>
            <w:rStyle w:val="Hyperlink"/>
            <w:lang w:val="en-CA"/>
          </w:rPr>
          <w:t>A sustainable approach to teaching information literacy: Reaching the masses online</w:t>
        </w:r>
      </w:hyperlink>
      <w:r w:rsidRPr="005104B6">
        <w:rPr>
          <w:lang w:val="en-CA"/>
        </w:rPr>
        <w:t xml:space="preserve">. </w:t>
      </w:r>
      <w:r w:rsidRPr="005104B6">
        <w:rPr>
          <w:i/>
          <w:lang w:val="en-CA"/>
        </w:rPr>
        <w:t>Journal of Business &amp; Finance Librarianship</w:t>
      </w:r>
      <w:r w:rsidRPr="005104B6">
        <w:rPr>
          <w:lang w:val="en-CA"/>
        </w:rPr>
        <w:t xml:space="preserve">, </w:t>
      </w:r>
      <w:r w:rsidRPr="005104B6">
        <w:rPr>
          <w:i/>
          <w:lang w:val="en-CA"/>
        </w:rPr>
        <w:t>17</w:t>
      </w:r>
      <w:r w:rsidRPr="005104B6">
        <w:rPr>
          <w:lang w:val="en-CA"/>
        </w:rPr>
        <w:t xml:space="preserve">(1), 77–94. </w:t>
      </w:r>
    </w:p>
    <w:p w14:paraId="3DAF297E" w14:textId="34109CFD"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Tronstad, B., Phillips, L., Garcia, J., &amp; Harlow, M. A. (2009). </w:t>
      </w:r>
      <w:hyperlink r:id="rId55" w:history="1">
        <w:r w:rsidRPr="001546A8">
          <w:rPr>
            <w:rStyle w:val="Hyperlink"/>
            <w:lang w:val="en-CA"/>
          </w:rPr>
          <w:t>Assessing the TIP online information literacy tutorial</w:t>
        </w:r>
      </w:hyperlink>
      <w:r w:rsidRPr="005104B6">
        <w:rPr>
          <w:lang w:val="en-CA"/>
        </w:rPr>
        <w:t xml:space="preserve">. </w:t>
      </w:r>
      <w:r w:rsidRPr="005104B6">
        <w:rPr>
          <w:i/>
          <w:lang w:val="en-CA"/>
        </w:rPr>
        <w:t>Reference Services Review</w:t>
      </w:r>
      <w:r w:rsidRPr="005104B6">
        <w:rPr>
          <w:lang w:val="en-CA"/>
        </w:rPr>
        <w:t xml:space="preserve">, </w:t>
      </w:r>
      <w:r w:rsidRPr="005104B6">
        <w:rPr>
          <w:i/>
          <w:lang w:val="en-CA"/>
        </w:rPr>
        <w:t>37</w:t>
      </w:r>
      <w:r w:rsidRPr="005104B6">
        <w:rPr>
          <w:lang w:val="en-CA"/>
        </w:rPr>
        <w:t xml:space="preserve">(1), 54–64. </w:t>
      </w:r>
    </w:p>
    <w:p w14:paraId="03D78964" w14:textId="4A442A1E"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Turner, B., Fuchs, C., &amp; Todman, A. (2015). </w:t>
      </w:r>
      <w:hyperlink r:id="rId56" w:history="1">
        <w:r w:rsidRPr="001546A8">
          <w:rPr>
            <w:rStyle w:val="Hyperlink"/>
            <w:lang w:val="en-CA"/>
          </w:rPr>
          <w:t>Static vs. dynamic tutorials: Applying usability principles to evaluate online point-of-need instruction</w:t>
        </w:r>
      </w:hyperlink>
      <w:r w:rsidRPr="005104B6">
        <w:rPr>
          <w:lang w:val="en-CA"/>
        </w:rPr>
        <w:t xml:space="preserve">. </w:t>
      </w:r>
      <w:r w:rsidRPr="005104B6">
        <w:rPr>
          <w:i/>
          <w:lang w:val="en-CA"/>
        </w:rPr>
        <w:t>Information Technology and Libraries</w:t>
      </w:r>
      <w:r w:rsidRPr="005104B6">
        <w:rPr>
          <w:lang w:val="en-CA"/>
        </w:rPr>
        <w:t xml:space="preserve">, </w:t>
      </w:r>
      <w:r w:rsidRPr="005104B6">
        <w:rPr>
          <w:i/>
          <w:lang w:val="en-CA"/>
        </w:rPr>
        <w:t>34</w:t>
      </w:r>
      <w:r w:rsidRPr="005104B6">
        <w:rPr>
          <w:lang w:val="en-CA"/>
        </w:rPr>
        <w:t xml:space="preserve">(4), 30–54. </w:t>
      </w:r>
    </w:p>
    <w:p w14:paraId="7EBE60CB" w14:textId="783FFFC5"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Vasques, R. A., Koria, M., &amp; Santos, M. C. L. (2017). </w:t>
      </w:r>
      <w:hyperlink r:id="rId57" w:history="1">
        <w:r w:rsidRPr="001546A8">
          <w:rPr>
            <w:rStyle w:val="Hyperlink"/>
            <w:lang w:val="en-CA"/>
          </w:rPr>
          <w:t>Why do I love you Vaatelainaamo? Analysis of motivations, barriers and opportunities in a Finnish service for sharing clothes</w:t>
        </w:r>
      </w:hyperlink>
      <w:r w:rsidRPr="005104B6">
        <w:rPr>
          <w:lang w:val="en-CA"/>
        </w:rPr>
        <w:t xml:space="preserve">. </w:t>
      </w:r>
      <w:r w:rsidRPr="005104B6">
        <w:rPr>
          <w:i/>
          <w:lang w:val="en-CA"/>
        </w:rPr>
        <w:t>The Design Journal</w:t>
      </w:r>
      <w:r w:rsidRPr="005104B6">
        <w:rPr>
          <w:lang w:val="en-CA"/>
        </w:rPr>
        <w:t xml:space="preserve">, </w:t>
      </w:r>
      <w:r w:rsidRPr="005104B6">
        <w:rPr>
          <w:i/>
          <w:lang w:val="en-CA"/>
        </w:rPr>
        <w:t>20</w:t>
      </w:r>
      <w:r w:rsidRPr="005104B6">
        <w:rPr>
          <w:lang w:val="en-CA"/>
        </w:rPr>
        <w:t xml:space="preserve">, S721–S731. </w:t>
      </w:r>
    </w:p>
    <w:p w14:paraId="68945709" w14:textId="7C663659"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Veldof, J., &amp; Beavers, K. (2001). </w:t>
      </w:r>
      <w:hyperlink r:id="rId58" w:history="1">
        <w:r w:rsidRPr="001546A8">
          <w:rPr>
            <w:rStyle w:val="Hyperlink"/>
            <w:lang w:val="en-CA"/>
          </w:rPr>
          <w:t>Going mental: Tackling mental models for the online library tutorial</w:t>
        </w:r>
      </w:hyperlink>
      <w:r w:rsidRPr="005104B6">
        <w:rPr>
          <w:lang w:val="en-CA"/>
        </w:rPr>
        <w:t xml:space="preserve">. </w:t>
      </w:r>
      <w:r w:rsidRPr="005104B6">
        <w:rPr>
          <w:i/>
          <w:lang w:val="en-CA"/>
        </w:rPr>
        <w:t>Research Strategies</w:t>
      </w:r>
      <w:r w:rsidRPr="005104B6">
        <w:rPr>
          <w:lang w:val="en-CA"/>
        </w:rPr>
        <w:t xml:space="preserve">, </w:t>
      </w:r>
      <w:r w:rsidRPr="005104B6">
        <w:rPr>
          <w:i/>
          <w:lang w:val="en-CA"/>
        </w:rPr>
        <w:t>18</w:t>
      </w:r>
      <w:r w:rsidRPr="005104B6">
        <w:rPr>
          <w:lang w:val="en-CA"/>
        </w:rPr>
        <w:t xml:space="preserve">(1), 3–20. </w:t>
      </w:r>
    </w:p>
    <w:p w14:paraId="1DDBE7E3" w14:textId="2AF46227" w:rsidR="001D7EAE" w:rsidRPr="005104B6" w:rsidRDefault="001D7EAE" w:rsidP="001546A8">
      <w:pPr>
        <w:widowControl w:val="0"/>
        <w:pBdr>
          <w:top w:val="nil"/>
          <w:left w:val="nil"/>
          <w:bottom w:val="nil"/>
          <w:right w:val="nil"/>
          <w:between w:val="nil"/>
        </w:pBdr>
        <w:tabs>
          <w:tab w:val="left" w:pos="90"/>
        </w:tabs>
        <w:spacing w:before="240" w:line="240" w:lineRule="auto"/>
        <w:rPr>
          <w:lang w:val="en-CA"/>
        </w:rPr>
      </w:pPr>
      <w:r w:rsidRPr="005104B6">
        <w:rPr>
          <w:lang w:val="en-CA"/>
        </w:rPr>
        <w:t xml:space="preserve">Walker, E., Wylie, R., Danielescu, A., Rodriguez, J. P., &amp; Finn, E. (2018). </w:t>
      </w:r>
      <w:hyperlink r:id="rId59" w:history="1">
        <w:r w:rsidRPr="001546A8">
          <w:rPr>
            <w:rStyle w:val="Hyperlink"/>
            <w:lang w:val="en-CA"/>
          </w:rPr>
          <w:t>Balancing student needs and learning theory in a social interactive postdigital textbook</w:t>
        </w:r>
      </w:hyperlink>
      <w:r w:rsidRPr="005104B6">
        <w:rPr>
          <w:lang w:val="en-CA"/>
        </w:rPr>
        <w:t xml:space="preserve">. In R. D. Roscoe, S. D. </w:t>
      </w:r>
      <w:r w:rsidRPr="005104B6">
        <w:rPr>
          <w:lang w:val="en-CA"/>
        </w:rPr>
        <w:lastRenderedPageBreak/>
        <w:t xml:space="preserve">Craig, &amp; I. Douglas (Eds.), </w:t>
      </w:r>
      <w:r w:rsidRPr="005104B6">
        <w:rPr>
          <w:i/>
          <w:lang w:val="en-CA"/>
        </w:rPr>
        <w:t>End-user considerations in educational technology design</w:t>
      </w:r>
      <w:r w:rsidRPr="005104B6">
        <w:rPr>
          <w:lang w:val="en-CA"/>
        </w:rPr>
        <w:t xml:space="preserve"> (pp. 141–159). IGI Global. </w:t>
      </w:r>
    </w:p>
    <w:p w14:paraId="185BAD5C" w14:textId="1E151C88"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Walton, G. (2015). </w:t>
      </w:r>
      <w:hyperlink r:id="rId60" w:history="1">
        <w:r w:rsidRPr="001546A8">
          <w:rPr>
            <w:rStyle w:val="Hyperlink"/>
            <w:lang w:val="en-CA"/>
          </w:rPr>
          <w:t>What user experience (UX) means for academic libraries</w:t>
        </w:r>
      </w:hyperlink>
      <w:r w:rsidRPr="005104B6">
        <w:rPr>
          <w:lang w:val="en-CA"/>
        </w:rPr>
        <w:t xml:space="preserve">. </w:t>
      </w:r>
      <w:r w:rsidRPr="005104B6">
        <w:rPr>
          <w:i/>
          <w:lang w:val="en-CA"/>
        </w:rPr>
        <w:t>New Review of Academic Librarianship</w:t>
      </w:r>
      <w:r w:rsidRPr="005104B6">
        <w:rPr>
          <w:lang w:val="en-CA"/>
        </w:rPr>
        <w:t xml:space="preserve">, </w:t>
      </w:r>
      <w:r w:rsidRPr="005104B6">
        <w:rPr>
          <w:i/>
          <w:lang w:val="en-CA"/>
        </w:rPr>
        <w:t>21</w:t>
      </w:r>
      <w:r w:rsidRPr="005104B6">
        <w:rPr>
          <w:lang w:val="en-CA"/>
        </w:rPr>
        <w:t xml:space="preserve">(1), 1–3. </w:t>
      </w:r>
    </w:p>
    <w:p w14:paraId="10165740" w14:textId="2AC336AC" w:rsidR="001D7EAE" w:rsidRPr="005104B6" w:rsidRDefault="001D7EAE" w:rsidP="001546A8">
      <w:pPr>
        <w:widowControl w:val="0"/>
        <w:pBdr>
          <w:top w:val="nil"/>
          <w:left w:val="nil"/>
          <w:bottom w:val="nil"/>
          <w:right w:val="nil"/>
          <w:between w:val="nil"/>
        </w:pBdr>
        <w:spacing w:before="240" w:line="240" w:lineRule="auto"/>
        <w:rPr>
          <w:lang w:val="en-CA"/>
        </w:rPr>
      </w:pPr>
      <w:r w:rsidRPr="005104B6">
        <w:rPr>
          <w:lang w:val="en-CA"/>
        </w:rPr>
        <w:t xml:space="preserve">Watts, K. A. (2018). </w:t>
      </w:r>
      <w:hyperlink r:id="rId61" w:history="1">
        <w:r w:rsidRPr="001546A8">
          <w:rPr>
            <w:rStyle w:val="Hyperlink"/>
            <w:lang w:val="en-CA"/>
          </w:rPr>
          <w:t>Tools and principles for effective online library instruction: Andragogy and undergraduates</w:t>
        </w:r>
      </w:hyperlink>
      <w:r w:rsidRPr="005104B6">
        <w:rPr>
          <w:lang w:val="en-CA"/>
        </w:rPr>
        <w:t xml:space="preserve">. </w:t>
      </w:r>
      <w:r w:rsidRPr="005104B6">
        <w:rPr>
          <w:i/>
          <w:lang w:val="en-CA"/>
        </w:rPr>
        <w:t>Journal of Library &amp; Information Services in Distance Learning</w:t>
      </w:r>
      <w:r w:rsidRPr="005104B6">
        <w:rPr>
          <w:lang w:val="en-CA"/>
        </w:rPr>
        <w:t xml:space="preserve">, </w:t>
      </w:r>
      <w:r w:rsidRPr="005104B6">
        <w:rPr>
          <w:i/>
          <w:lang w:val="en-CA"/>
        </w:rPr>
        <w:t>12</w:t>
      </w:r>
      <w:r w:rsidRPr="005104B6">
        <w:rPr>
          <w:lang w:val="en-CA"/>
        </w:rPr>
        <w:t xml:space="preserve">(1–2), 49–55. </w:t>
      </w:r>
    </w:p>
    <w:p w14:paraId="441DE7E6" w14:textId="23D7D997" w:rsidR="001D7EAE" w:rsidRPr="005104B6" w:rsidRDefault="001D7EAE" w:rsidP="001546A8">
      <w:pPr>
        <w:widowControl w:val="0"/>
        <w:pBdr>
          <w:top w:val="nil"/>
          <w:left w:val="nil"/>
          <w:bottom w:val="nil"/>
          <w:right w:val="nil"/>
          <w:between w:val="nil"/>
        </w:pBdr>
        <w:spacing w:before="240" w:line="240" w:lineRule="auto"/>
        <w:rPr>
          <w:color w:val="FF0000"/>
          <w:lang w:val="en-CA"/>
        </w:rPr>
      </w:pPr>
      <w:r w:rsidRPr="008E0E53">
        <w:rPr>
          <w:lang w:val="de-DE"/>
        </w:rPr>
        <w:t xml:space="preserve">Weiner, S., Pelaez, N., Chang, K., &amp; Weiner, J. (2012). </w:t>
      </w:r>
      <w:hyperlink r:id="rId62" w:history="1">
        <w:r w:rsidRPr="001546A8">
          <w:rPr>
            <w:rStyle w:val="Hyperlink"/>
            <w:lang w:val="en-CA"/>
          </w:rPr>
          <w:t>Biology and nursing students’ perceptions of a web-based information literacy tutorial</w:t>
        </w:r>
      </w:hyperlink>
      <w:r w:rsidRPr="005104B6">
        <w:rPr>
          <w:lang w:val="en-CA"/>
        </w:rPr>
        <w:t xml:space="preserve">. </w:t>
      </w:r>
      <w:r w:rsidRPr="005104B6">
        <w:rPr>
          <w:i/>
          <w:lang w:val="en-CA"/>
        </w:rPr>
        <w:t>Communications in Information Literacy</w:t>
      </w:r>
      <w:r w:rsidRPr="005104B6">
        <w:rPr>
          <w:lang w:val="en-CA"/>
        </w:rPr>
        <w:t xml:space="preserve">, </w:t>
      </w:r>
      <w:r w:rsidRPr="005104B6">
        <w:rPr>
          <w:i/>
          <w:lang w:val="en-CA"/>
        </w:rPr>
        <w:t>5</w:t>
      </w:r>
      <w:r w:rsidRPr="005104B6">
        <w:rPr>
          <w:lang w:val="en-CA"/>
        </w:rPr>
        <w:t xml:space="preserve">(2), 187–201. </w:t>
      </w:r>
    </w:p>
    <w:p w14:paraId="4A563E7E" w14:textId="77777777" w:rsidR="001D7EAE" w:rsidRPr="005104B6" w:rsidRDefault="001D7EAE" w:rsidP="001546A8">
      <w:pPr>
        <w:pStyle w:val="JIL-references"/>
        <w:spacing w:before="240" w:after="0"/>
        <w:rPr>
          <w:rFonts w:ascii="Arial" w:hAnsi="Arial" w:cs="Arial"/>
          <w:color w:val="FF0000"/>
          <w:lang w:val="en-CA"/>
        </w:rPr>
      </w:pPr>
    </w:p>
    <w:p w14:paraId="40C57FEC" w14:textId="6AB57783" w:rsidR="00BE7F54" w:rsidRDefault="00BE7F54" w:rsidP="001546A8">
      <w:pPr>
        <w:pBdr>
          <w:top w:val="nil"/>
          <w:left w:val="nil"/>
          <w:bottom w:val="nil"/>
          <w:right w:val="nil"/>
          <w:between w:val="nil"/>
        </w:pBdr>
        <w:spacing w:before="240" w:line="240" w:lineRule="auto"/>
        <w:rPr>
          <w:color w:val="000000"/>
        </w:rPr>
      </w:pPr>
    </w:p>
    <w:p w14:paraId="2A74AE55" w14:textId="77777777" w:rsidR="007A0E36" w:rsidRDefault="007A0E36" w:rsidP="001546A8">
      <w:pPr>
        <w:pBdr>
          <w:top w:val="nil"/>
          <w:left w:val="nil"/>
          <w:bottom w:val="nil"/>
          <w:right w:val="nil"/>
          <w:between w:val="nil"/>
        </w:pBdr>
        <w:spacing w:before="240" w:line="240" w:lineRule="auto"/>
        <w:rPr>
          <w:color w:val="000000"/>
        </w:rPr>
      </w:pPr>
    </w:p>
    <w:sectPr w:rsidR="007A0E36" w:rsidSect="00633F55">
      <w:footerReference w:type="even" r:id="rId63"/>
      <w:footerReference w:type="default" r:id="rId64"/>
      <w:pgSz w:w="11900" w:h="16840"/>
      <w:pgMar w:top="1134" w:right="1418" w:bottom="1814" w:left="1134" w:header="850" w:footer="907" w:gutter="0"/>
      <w:pgNumType w:start="4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7D47B" w14:textId="77777777" w:rsidR="00580F54" w:rsidRDefault="00580F54">
      <w:pPr>
        <w:spacing w:line="240" w:lineRule="auto"/>
      </w:pPr>
      <w:r>
        <w:separator/>
      </w:r>
    </w:p>
  </w:endnote>
  <w:endnote w:type="continuationSeparator" w:id="0">
    <w:p w14:paraId="46C3C901" w14:textId="77777777" w:rsidR="00580F54" w:rsidRDefault="00580F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867B5" w14:textId="77777777" w:rsidR="00BE7F54" w:rsidRDefault="00D221B1">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14:paraId="28AF8124" w14:textId="77777777" w:rsidR="00BE7F54" w:rsidRDefault="00BE7F54">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4FFA" w14:textId="4901C5F8" w:rsidR="00BE7F54" w:rsidRDefault="001D7EAE" w:rsidP="00D51558">
    <w:pPr>
      <w:pBdr>
        <w:top w:val="nil"/>
        <w:left w:val="nil"/>
        <w:bottom w:val="nil"/>
        <w:right w:val="nil"/>
        <w:between w:val="nil"/>
      </w:pBdr>
      <w:tabs>
        <w:tab w:val="center" w:pos="4680"/>
        <w:tab w:val="right" w:pos="9360"/>
      </w:tabs>
      <w:spacing w:line="240" w:lineRule="auto"/>
      <w:rPr>
        <w:i/>
        <w:color w:val="000000"/>
        <w:sz w:val="18"/>
        <w:szCs w:val="18"/>
      </w:rPr>
    </w:pPr>
    <w:r w:rsidRPr="00D51558">
      <w:rPr>
        <w:i/>
        <w:color w:val="000000"/>
        <w:sz w:val="18"/>
        <w:szCs w:val="18"/>
      </w:rPr>
      <w:t>Dennie &amp; Breier</w:t>
    </w:r>
    <w:r w:rsidR="00D221B1" w:rsidRPr="00D51558">
      <w:rPr>
        <w:i/>
        <w:color w:val="000000"/>
        <w:sz w:val="18"/>
        <w:szCs w:val="18"/>
      </w:rPr>
      <w:t xml:space="preserve">. </w:t>
    </w:r>
    <w:r w:rsidRPr="00D51558">
      <w:rPr>
        <w:i/>
        <w:color w:val="000000"/>
        <w:sz w:val="18"/>
        <w:szCs w:val="18"/>
      </w:rPr>
      <w:t>2021</w:t>
    </w:r>
    <w:r w:rsidR="00D221B1" w:rsidRPr="00D51558">
      <w:rPr>
        <w:i/>
        <w:color w:val="000000"/>
        <w:sz w:val="18"/>
        <w:szCs w:val="18"/>
      </w:rPr>
      <w:t xml:space="preserve">. Journal of Information Literacy, </w:t>
    </w:r>
    <w:r w:rsidRPr="00D51558">
      <w:rPr>
        <w:i/>
        <w:color w:val="000000"/>
        <w:sz w:val="18"/>
        <w:szCs w:val="18"/>
      </w:rPr>
      <w:t>15</w:t>
    </w:r>
    <w:r w:rsidR="00D221B1" w:rsidRPr="00D51558">
      <w:rPr>
        <w:i/>
        <w:color w:val="000000"/>
        <w:sz w:val="18"/>
        <w:szCs w:val="18"/>
      </w:rPr>
      <w:t>(</w:t>
    </w:r>
    <w:r w:rsidRPr="00D51558">
      <w:rPr>
        <w:i/>
        <w:color w:val="000000"/>
        <w:sz w:val="18"/>
        <w:szCs w:val="18"/>
      </w:rPr>
      <w:t>3</w:t>
    </w:r>
    <w:r w:rsidR="00D221B1" w:rsidRPr="00D51558">
      <w:rPr>
        <w:i/>
        <w:color w:val="000000"/>
        <w:sz w:val="18"/>
        <w:szCs w:val="18"/>
      </w:rPr>
      <w:t>).</w:t>
    </w:r>
    <w:r w:rsidR="00D51558" w:rsidRPr="00D51558">
      <w:rPr>
        <w:i/>
        <w:color w:val="000000"/>
        <w:sz w:val="18"/>
        <w:szCs w:val="18"/>
      </w:rPr>
      <w:t xml:space="preserve"> </w:t>
    </w:r>
    <w:r w:rsidR="00D51558">
      <w:rPr>
        <w:i/>
        <w:color w:val="000000"/>
        <w:sz w:val="18"/>
        <w:szCs w:val="18"/>
      </w:rPr>
      <w:tab/>
    </w:r>
    <w:r w:rsidR="00D51558" w:rsidRPr="00D51558">
      <w:rPr>
        <w:i/>
        <w:color w:val="000000"/>
        <w:sz w:val="18"/>
        <w:szCs w:val="18"/>
      </w:rPr>
      <w:fldChar w:fldCharType="begin"/>
    </w:r>
    <w:r w:rsidR="00D51558" w:rsidRPr="00D51558">
      <w:rPr>
        <w:i/>
        <w:color w:val="000000"/>
        <w:sz w:val="18"/>
        <w:szCs w:val="18"/>
      </w:rPr>
      <w:instrText>PAGE</w:instrText>
    </w:r>
    <w:r w:rsidR="00D51558" w:rsidRPr="00D51558">
      <w:rPr>
        <w:i/>
        <w:color w:val="000000"/>
        <w:sz w:val="18"/>
        <w:szCs w:val="18"/>
      </w:rPr>
      <w:fldChar w:fldCharType="separate"/>
    </w:r>
    <w:r w:rsidR="00D51558" w:rsidRPr="00D51558">
      <w:rPr>
        <w:i/>
        <w:color w:val="000000"/>
        <w:sz w:val="18"/>
        <w:szCs w:val="18"/>
      </w:rPr>
      <w:t>41</w:t>
    </w:r>
    <w:r w:rsidR="00D51558" w:rsidRPr="00D51558">
      <w:rPr>
        <w:i/>
        <w:color w:val="000000"/>
        <w:sz w:val="18"/>
        <w:szCs w:val="18"/>
      </w:rPr>
      <w:fldChar w:fldCharType="end"/>
    </w:r>
  </w:p>
  <w:p w14:paraId="69AA1CDB" w14:textId="5B2BFB9E" w:rsidR="00BE7F54" w:rsidRPr="00D51558" w:rsidRDefault="00D221B1">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http://dx.doi.org/10.11645/</w:t>
    </w:r>
    <w:r w:rsidR="001D7EAE">
      <w:rPr>
        <w:i/>
        <w:color w:val="000000"/>
        <w:sz w:val="18"/>
        <w:szCs w:val="18"/>
      </w:rPr>
      <w:t>15</w:t>
    </w:r>
    <w:r>
      <w:rPr>
        <w:i/>
        <w:color w:val="000000"/>
        <w:sz w:val="18"/>
        <w:szCs w:val="18"/>
      </w:rPr>
      <w:t>.</w:t>
    </w:r>
    <w:r w:rsidR="001D7EAE">
      <w:rPr>
        <w:i/>
        <w:color w:val="000000"/>
        <w:sz w:val="18"/>
        <w:szCs w:val="18"/>
      </w:rPr>
      <w:t>3</w:t>
    </w:r>
    <w:r>
      <w:rPr>
        <w:i/>
        <w:color w:val="000000"/>
        <w:sz w:val="18"/>
        <w:szCs w:val="18"/>
      </w:rPr>
      <w:t>.</w:t>
    </w:r>
    <w:r w:rsidR="001D7EAE">
      <w:rPr>
        <w:i/>
        <w:color w:val="000000"/>
        <w:sz w:val="18"/>
        <w:szCs w:val="18"/>
      </w:rPr>
      <w:t>2</w:t>
    </w:r>
    <w:r w:rsidR="00D51558">
      <w:rPr>
        <w:i/>
        <w:color w:val="000000"/>
        <w:sz w:val="18"/>
        <w:szCs w:val="18"/>
      </w:rPr>
      <w:t>887</w:t>
    </w:r>
    <w:r>
      <w:rPr>
        <w:i/>
        <w:color w:val="00000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2E5BF" w14:textId="77777777" w:rsidR="00580F54" w:rsidRDefault="00580F54">
      <w:pPr>
        <w:spacing w:line="240" w:lineRule="auto"/>
      </w:pPr>
      <w:r>
        <w:separator/>
      </w:r>
    </w:p>
  </w:footnote>
  <w:footnote w:type="continuationSeparator" w:id="0">
    <w:p w14:paraId="1616A0FF" w14:textId="77777777" w:rsidR="00580F54" w:rsidRDefault="00580F5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F54"/>
    <w:rsid w:val="00034213"/>
    <w:rsid w:val="000924D3"/>
    <w:rsid w:val="00110D72"/>
    <w:rsid w:val="00120B1E"/>
    <w:rsid w:val="0012586B"/>
    <w:rsid w:val="001546A8"/>
    <w:rsid w:val="001D7EAE"/>
    <w:rsid w:val="0021525D"/>
    <w:rsid w:val="00292183"/>
    <w:rsid w:val="0041239B"/>
    <w:rsid w:val="00417E02"/>
    <w:rsid w:val="00442B12"/>
    <w:rsid w:val="00473CEC"/>
    <w:rsid w:val="004C173F"/>
    <w:rsid w:val="00543305"/>
    <w:rsid w:val="00580F54"/>
    <w:rsid w:val="00633F55"/>
    <w:rsid w:val="00634D93"/>
    <w:rsid w:val="006970E8"/>
    <w:rsid w:val="0071070E"/>
    <w:rsid w:val="007A0E36"/>
    <w:rsid w:val="007C5BE8"/>
    <w:rsid w:val="00832A17"/>
    <w:rsid w:val="00845303"/>
    <w:rsid w:val="0085044B"/>
    <w:rsid w:val="00911723"/>
    <w:rsid w:val="009B0468"/>
    <w:rsid w:val="00A027BC"/>
    <w:rsid w:val="00A2078A"/>
    <w:rsid w:val="00AD5E4A"/>
    <w:rsid w:val="00AE1F6B"/>
    <w:rsid w:val="00B96C00"/>
    <w:rsid w:val="00BB57BE"/>
    <w:rsid w:val="00BB6DF1"/>
    <w:rsid w:val="00BE7F54"/>
    <w:rsid w:val="00C060FA"/>
    <w:rsid w:val="00C16B73"/>
    <w:rsid w:val="00CB5EB3"/>
    <w:rsid w:val="00D221B1"/>
    <w:rsid w:val="00D475C8"/>
    <w:rsid w:val="00D51558"/>
    <w:rsid w:val="00DB737D"/>
    <w:rsid w:val="00DE2611"/>
    <w:rsid w:val="00F03D92"/>
    <w:rsid w:val="00FA5F06"/>
    <w:rsid w:val="00FC6301"/>
    <w:rsid w:val="00FE55A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4D8456"/>
  <w15:docId w15:val="{D52C725A-9CB7-734D-A887-854C8FAC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JIL-references">
    <w:name w:val="JIL-references"/>
    <w:basedOn w:val="Normal"/>
    <w:rsid w:val="001D7EAE"/>
    <w:pPr>
      <w:spacing w:before="80" w:after="40" w:line="240" w:lineRule="auto"/>
    </w:pPr>
    <w:rPr>
      <w:rFonts w:ascii="Times New Roman" w:eastAsia="Times New Roman" w:hAnsi="Times New Roman" w:cs="Times New Roman"/>
      <w:szCs w:val="24"/>
      <w:lang w:val="en-US" w:eastAsia="en-US"/>
    </w:rPr>
  </w:style>
  <w:style w:type="character" w:styleId="Hyperlink">
    <w:name w:val="Hyperlink"/>
    <w:unhideWhenUsed/>
    <w:rsid w:val="001D7EAE"/>
    <w:rPr>
      <w:color w:val="0000FF"/>
      <w:u w:val="single"/>
    </w:rPr>
  </w:style>
  <w:style w:type="paragraph" w:styleId="NormalWeb">
    <w:name w:val="Normal (Web)"/>
    <w:basedOn w:val="Normal"/>
    <w:uiPriority w:val="99"/>
    <w:unhideWhenUsed/>
    <w:rsid w:val="001D7EAE"/>
    <w:pPr>
      <w:spacing w:before="100" w:beforeAutospacing="1" w:after="100" w:afterAutospacing="1" w:line="240" w:lineRule="auto"/>
    </w:pPr>
    <w:rPr>
      <w:rFonts w:ascii="Times New Roman" w:eastAsia="Times New Roman" w:hAnsi="Times New Roman" w:cs="Times New Roman"/>
      <w:sz w:val="24"/>
      <w:szCs w:val="24"/>
      <w:lang w:val="en-CA" w:eastAsia="zh-CN"/>
    </w:rPr>
  </w:style>
  <w:style w:type="paragraph" w:styleId="Header">
    <w:name w:val="header"/>
    <w:basedOn w:val="Normal"/>
    <w:link w:val="HeaderChar"/>
    <w:uiPriority w:val="99"/>
    <w:unhideWhenUsed/>
    <w:rsid w:val="001D7EAE"/>
    <w:pPr>
      <w:tabs>
        <w:tab w:val="center" w:pos="4513"/>
        <w:tab w:val="right" w:pos="9026"/>
      </w:tabs>
      <w:spacing w:line="240" w:lineRule="auto"/>
    </w:pPr>
  </w:style>
  <w:style w:type="character" w:customStyle="1" w:styleId="HeaderChar">
    <w:name w:val="Header Char"/>
    <w:basedOn w:val="DefaultParagraphFont"/>
    <w:link w:val="Header"/>
    <w:uiPriority w:val="99"/>
    <w:rsid w:val="001D7EAE"/>
  </w:style>
  <w:style w:type="paragraph" w:styleId="Footer">
    <w:name w:val="footer"/>
    <w:basedOn w:val="Normal"/>
    <w:link w:val="FooterChar"/>
    <w:uiPriority w:val="99"/>
    <w:unhideWhenUsed/>
    <w:rsid w:val="001D7EAE"/>
    <w:pPr>
      <w:tabs>
        <w:tab w:val="center" w:pos="4513"/>
        <w:tab w:val="right" w:pos="9026"/>
      </w:tabs>
      <w:spacing w:line="240" w:lineRule="auto"/>
    </w:pPr>
  </w:style>
  <w:style w:type="character" w:customStyle="1" w:styleId="FooterChar">
    <w:name w:val="Footer Char"/>
    <w:basedOn w:val="DefaultParagraphFont"/>
    <w:link w:val="Footer"/>
    <w:uiPriority w:val="99"/>
    <w:rsid w:val="001D7EAE"/>
  </w:style>
  <w:style w:type="character" w:styleId="UnresolvedMention">
    <w:name w:val="Unresolved Mention"/>
    <w:basedOn w:val="DefaultParagraphFont"/>
    <w:uiPriority w:val="99"/>
    <w:semiHidden/>
    <w:unhideWhenUsed/>
    <w:rsid w:val="00A2078A"/>
    <w:rPr>
      <w:color w:val="605E5C"/>
      <w:shd w:val="clear" w:color="auto" w:fill="E1DFDD"/>
    </w:rPr>
  </w:style>
  <w:style w:type="paragraph" w:customStyle="1" w:styleId="Heading3-JIL">
    <w:name w:val="Heading 3 - JIL"/>
    <w:basedOn w:val="Heading3"/>
    <w:qFormat/>
    <w:rsid w:val="00034213"/>
    <w:pPr>
      <w:spacing w:before="80" w:after="120"/>
    </w:pPr>
    <w:rPr>
      <w:rFonts w:ascii="Arial" w:eastAsiaTheme="majorEastAsia" w:hAnsi="Arial" w:cstheme="majorBidi"/>
      <w:b/>
      <w:color w:val="000000" w:themeColor="text1"/>
      <w:lang w:eastAsia="en-US"/>
    </w:rPr>
  </w:style>
  <w:style w:type="paragraph" w:styleId="ListParagraph">
    <w:name w:val="List Paragraph"/>
    <w:basedOn w:val="Normal"/>
    <w:uiPriority w:val="34"/>
    <w:qFormat/>
    <w:rsid w:val="00FA5F06"/>
    <w:pPr>
      <w:ind w:left="720"/>
      <w:contextualSpacing/>
    </w:pPr>
  </w:style>
  <w:style w:type="character" w:styleId="CommentReference">
    <w:name w:val="annotation reference"/>
    <w:basedOn w:val="DefaultParagraphFont"/>
    <w:uiPriority w:val="99"/>
    <w:semiHidden/>
    <w:unhideWhenUsed/>
    <w:rsid w:val="0041239B"/>
    <w:rPr>
      <w:sz w:val="16"/>
      <w:szCs w:val="16"/>
    </w:rPr>
  </w:style>
  <w:style w:type="paragraph" w:styleId="CommentText">
    <w:name w:val="annotation text"/>
    <w:basedOn w:val="Normal"/>
    <w:link w:val="CommentTextChar"/>
    <w:uiPriority w:val="99"/>
    <w:semiHidden/>
    <w:unhideWhenUsed/>
    <w:rsid w:val="0041239B"/>
    <w:pPr>
      <w:spacing w:line="240" w:lineRule="auto"/>
    </w:pPr>
    <w:rPr>
      <w:sz w:val="20"/>
      <w:szCs w:val="20"/>
    </w:rPr>
  </w:style>
  <w:style w:type="character" w:customStyle="1" w:styleId="CommentTextChar">
    <w:name w:val="Comment Text Char"/>
    <w:basedOn w:val="DefaultParagraphFont"/>
    <w:link w:val="CommentText"/>
    <w:uiPriority w:val="99"/>
    <w:semiHidden/>
    <w:rsid w:val="0041239B"/>
    <w:rPr>
      <w:sz w:val="20"/>
      <w:szCs w:val="20"/>
    </w:rPr>
  </w:style>
  <w:style w:type="paragraph" w:styleId="CommentSubject">
    <w:name w:val="annotation subject"/>
    <w:basedOn w:val="CommentText"/>
    <w:next w:val="CommentText"/>
    <w:link w:val="CommentSubjectChar"/>
    <w:uiPriority w:val="99"/>
    <w:semiHidden/>
    <w:unhideWhenUsed/>
    <w:rsid w:val="0041239B"/>
    <w:rPr>
      <w:b/>
      <w:bCs/>
    </w:rPr>
  </w:style>
  <w:style w:type="character" w:customStyle="1" w:styleId="CommentSubjectChar">
    <w:name w:val="Comment Subject Char"/>
    <w:basedOn w:val="CommentTextChar"/>
    <w:link w:val="CommentSubject"/>
    <w:uiPriority w:val="99"/>
    <w:semiHidden/>
    <w:rsid w:val="0041239B"/>
    <w:rPr>
      <w:b/>
      <w:bCs/>
      <w:sz w:val="20"/>
      <w:szCs w:val="20"/>
    </w:rPr>
  </w:style>
  <w:style w:type="paragraph" w:styleId="BalloonText">
    <w:name w:val="Balloon Text"/>
    <w:basedOn w:val="Normal"/>
    <w:link w:val="BalloonTextChar"/>
    <w:uiPriority w:val="99"/>
    <w:semiHidden/>
    <w:unhideWhenUsed/>
    <w:rsid w:val="00DB737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37D"/>
    <w:rPr>
      <w:rFonts w:ascii="Segoe UI" w:hAnsi="Segoe UI" w:cs="Segoe UI"/>
      <w:sz w:val="18"/>
      <w:szCs w:val="18"/>
    </w:rPr>
  </w:style>
  <w:style w:type="paragraph" w:styleId="Revision">
    <w:name w:val="Revision"/>
    <w:hidden/>
    <w:uiPriority w:val="99"/>
    <w:semiHidden/>
    <w:rsid w:val="0012586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62904">
      <w:bodyDiv w:val="1"/>
      <w:marLeft w:val="0"/>
      <w:marRight w:val="0"/>
      <w:marTop w:val="0"/>
      <w:marBottom w:val="0"/>
      <w:divBdr>
        <w:top w:val="none" w:sz="0" w:space="0" w:color="auto"/>
        <w:left w:val="none" w:sz="0" w:space="0" w:color="auto"/>
        <w:bottom w:val="none" w:sz="0" w:space="0" w:color="auto"/>
        <w:right w:val="none" w:sz="0" w:space="0" w:color="auto"/>
      </w:divBdr>
    </w:div>
    <w:div w:id="364645136">
      <w:bodyDiv w:val="1"/>
      <w:marLeft w:val="0"/>
      <w:marRight w:val="0"/>
      <w:marTop w:val="0"/>
      <w:marBottom w:val="0"/>
      <w:divBdr>
        <w:top w:val="none" w:sz="0" w:space="0" w:color="auto"/>
        <w:left w:val="none" w:sz="0" w:space="0" w:color="auto"/>
        <w:bottom w:val="none" w:sz="0" w:space="0" w:color="auto"/>
        <w:right w:val="none" w:sz="0" w:space="0" w:color="auto"/>
      </w:divBdr>
    </w:div>
    <w:div w:id="371851602">
      <w:bodyDiv w:val="1"/>
      <w:marLeft w:val="0"/>
      <w:marRight w:val="0"/>
      <w:marTop w:val="0"/>
      <w:marBottom w:val="0"/>
      <w:divBdr>
        <w:top w:val="none" w:sz="0" w:space="0" w:color="auto"/>
        <w:left w:val="none" w:sz="0" w:space="0" w:color="auto"/>
        <w:bottom w:val="none" w:sz="0" w:space="0" w:color="auto"/>
        <w:right w:val="none" w:sz="0" w:space="0" w:color="auto"/>
      </w:divBdr>
    </w:div>
    <w:div w:id="860701017">
      <w:bodyDiv w:val="1"/>
      <w:marLeft w:val="0"/>
      <w:marRight w:val="0"/>
      <w:marTop w:val="0"/>
      <w:marBottom w:val="0"/>
      <w:divBdr>
        <w:top w:val="none" w:sz="0" w:space="0" w:color="auto"/>
        <w:left w:val="none" w:sz="0" w:space="0" w:color="auto"/>
        <w:bottom w:val="none" w:sz="0" w:space="0" w:color="auto"/>
        <w:right w:val="none" w:sz="0" w:space="0" w:color="auto"/>
      </w:divBdr>
    </w:div>
    <w:div w:id="995842136">
      <w:bodyDiv w:val="1"/>
      <w:marLeft w:val="0"/>
      <w:marRight w:val="0"/>
      <w:marTop w:val="0"/>
      <w:marBottom w:val="0"/>
      <w:divBdr>
        <w:top w:val="none" w:sz="0" w:space="0" w:color="auto"/>
        <w:left w:val="none" w:sz="0" w:space="0" w:color="auto"/>
        <w:bottom w:val="none" w:sz="0" w:space="0" w:color="auto"/>
        <w:right w:val="none" w:sz="0" w:space="0" w:color="auto"/>
      </w:divBdr>
    </w:div>
    <w:div w:id="1971088815">
      <w:bodyDiv w:val="1"/>
      <w:marLeft w:val="0"/>
      <w:marRight w:val="0"/>
      <w:marTop w:val="0"/>
      <w:marBottom w:val="0"/>
      <w:divBdr>
        <w:top w:val="none" w:sz="0" w:space="0" w:color="auto"/>
        <w:left w:val="none" w:sz="0" w:space="0" w:color="auto"/>
        <w:bottom w:val="none" w:sz="0" w:space="0" w:color="auto"/>
        <w:right w:val="none" w:sz="0" w:space="0" w:color="auto"/>
      </w:divBdr>
    </w:div>
    <w:div w:id="1975981117">
      <w:bodyDiv w:val="1"/>
      <w:marLeft w:val="0"/>
      <w:marRight w:val="0"/>
      <w:marTop w:val="0"/>
      <w:marBottom w:val="0"/>
      <w:divBdr>
        <w:top w:val="none" w:sz="0" w:space="0" w:color="auto"/>
        <w:left w:val="none" w:sz="0" w:space="0" w:color="auto"/>
        <w:bottom w:val="none" w:sz="0" w:space="0" w:color="auto"/>
        <w:right w:val="none" w:sz="0" w:space="0" w:color="auto"/>
      </w:divBdr>
    </w:div>
    <w:div w:id="1988973742">
      <w:bodyDiv w:val="1"/>
      <w:marLeft w:val="0"/>
      <w:marRight w:val="0"/>
      <w:marTop w:val="0"/>
      <w:marBottom w:val="0"/>
      <w:divBdr>
        <w:top w:val="none" w:sz="0" w:space="0" w:color="auto"/>
        <w:left w:val="none" w:sz="0" w:space="0" w:color="auto"/>
        <w:bottom w:val="none" w:sz="0" w:space="0" w:color="auto"/>
        <w:right w:val="none" w:sz="0" w:space="0" w:color="auto"/>
      </w:divBdr>
    </w:div>
    <w:div w:id="2076277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doi.org/10.1016/S1096-7516(00)00025-7" TargetMode="External"/><Relationship Id="rId21" Type="http://schemas.openxmlformats.org/officeDocument/2006/relationships/hyperlink" Target="https://doi.org/10.15760/comminfolit.2010.4.1.86" TargetMode="External"/><Relationship Id="rId34" Type="http://schemas.openxmlformats.org/officeDocument/2006/relationships/hyperlink" Target="https://doi.org/10.1080/10875301.2016.1164786" TargetMode="External"/><Relationship Id="rId42" Type="http://schemas.openxmlformats.org/officeDocument/2006/relationships/hyperlink" Target="https://doi.org/10.1108/00907320510597372" TargetMode="External"/><Relationship Id="rId47" Type="http://schemas.openxmlformats.org/officeDocument/2006/relationships/hyperlink" Target="https://doi.org/10.11645/9.2.2033" TargetMode="External"/><Relationship Id="rId50" Type="http://schemas.openxmlformats.org/officeDocument/2006/relationships/hyperlink" Target="https://www.depts.ttu.edu/library/user-experience/love_letters_results_2018.php" TargetMode="External"/><Relationship Id="rId55" Type="http://schemas.openxmlformats.org/officeDocument/2006/relationships/hyperlink" Target="https://doi.org/10.1108/00907320910934995" TargetMode="External"/><Relationship Id="rId63" Type="http://schemas.openxmlformats.org/officeDocument/2006/relationships/footer" Target="footer1.xml"/><Relationship Id="rId7" Type="http://schemas.openxmlformats.org/officeDocument/2006/relationships/hyperlink" Target="http://dx.doi.org/10.11645/15.3.2887" TargetMode="External"/><Relationship Id="rId2" Type="http://schemas.openxmlformats.org/officeDocument/2006/relationships/styles" Target="styles.xml"/><Relationship Id="rId16" Type="http://schemas.openxmlformats.org/officeDocument/2006/relationships/image" Target="media/image3.png"/><Relationship Id="rId29" Type="http://schemas.openxmlformats.org/officeDocument/2006/relationships/hyperlink" Target="https://blogs.kent.ac.uk/isux/2017/02/21/love-and-break-up-letters-to-the-library/" TargetMode="External"/><Relationship Id="rId11" Type="http://schemas.openxmlformats.org/officeDocument/2006/relationships/hyperlink" Target="https://orcid.org/0000-0003-3771-2450" TargetMode="External"/><Relationship Id="rId24" Type="http://schemas.openxmlformats.org/officeDocument/2006/relationships/hyperlink" Target="https://doi.org/10.5062/F46H4FBH" TargetMode="External"/><Relationship Id="rId32" Type="http://schemas.openxmlformats.org/officeDocument/2006/relationships/hyperlink" Target="https://doi.org/10.1002/asi.21681" TargetMode="External"/><Relationship Id="rId37" Type="http://schemas.openxmlformats.org/officeDocument/2006/relationships/hyperlink" Target="https://doi.org/10.1080/02763869.2017.1259925" TargetMode="External"/><Relationship Id="rId40" Type="http://schemas.openxmlformats.org/officeDocument/2006/relationships/hyperlink" Target="https://doi.org/10.1108/00907321211228318" TargetMode="External"/><Relationship Id="rId45" Type="http://schemas.openxmlformats.org/officeDocument/2006/relationships/hyperlink" Target="https://andypriestnertraining.files.wordpress.com/2019/08/ipm-letters.pdf" TargetMode="External"/><Relationship Id="rId53" Type="http://schemas.openxmlformats.org/officeDocument/2006/relationships/hyperlink" Target="https://doi.org/10.11645/13.1.2519" TargetMode="External"/><Relationship Id="rId58" Type="http://schemas.openxmlformats.org/officeDocument/2006/relationships/hyperlink" Target="https://doi.org/10.1016/S0734-3310(01)00064-7"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doi.org/10.1080/1533290X.2018.1428712" TargetMode="External"/><Relationship Id="rId19" Type="http://schemas.openxmlformats.org/officeDocument/2006/relationships/hyperlink" Target="https://doi.org/10.1016/S0734-3310(99)00019-1" TargetMode="External"/><Relationship Id="rId14" Type="http://schemas.openxmlformats.org/officeDocument/2006/relationships/hyperlink" Target="https://www.dedoose.com/" TargetMode="External"/><Relationship Id="rId22" Type="http://schemas.openxmlformats.org/officeDocument/2006/relationships/hyperlink" Target="http://epapers.bham.ac.uk/3268/" TargetMode="External"/><Relationship Id="rId27" Type="http://schemas.openxmlformats.org/officeDocument/2006/relationships/hyperlink" Target="https://floridalibrarywebinars.org/events/sustainable-information-literacy-instruction-2/" TargetMode="External"/><Relationship Id="rId30" Type="http://schemas.openxmlformats.org/officeDocument/2006/relationships/hyperlink" Target="https://blogs.shu.ac.uk/hallamguild/files/2018/08/10-Digital-Skills-in-the-Library-Pilot.pdf" TargetMode="External"/><Relationship Id="rId35" Type="http://schemas.openxmlformats.org/officeDocument/2006/relationships/hyperlink" Target="https://www.imperial.ac.uk/news/200193/central-library-you-said-we-did/" TargetMode="External"/><Relationship Id="rId43" Type="http://schemas.openxmlformats.org/officeDocument/2006/relationships/hyperlink" Target="http://repository.jisc.ac.uk/6683/6/digital-capability-stories-ou-aug-2017.pdf" TargetMode="External"/><Relationship Id="rId48" Type="http://schemas.openxmlformats.org/officeDocument/2006/relationships/hyperlink" Target="https://doi.org/10.1016/j.acalib.2017.12.022" TargetMode="External"/><Relationship Id="rId56" Type="http://schemas.openxmlformats.org/officeDocument/2006/relationships/hyperlink" Target="https://doi.org/10.6017/ital.v34i4.5831" TargetMode="External"/><Relationship Id="rId64"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s://doi.org/10.1177/1098214005283748" TargetMode="External"/><Relationship Id="rId3" Type="http://schemas.openxmlformats.org/officeDocument/2006/relationships/settings" Target="settings.xml"/><Relationship Id="rId12" Type="http://schemas.openxmlformats.org/officeDocument/2006/relationships/hyperlink" Target="mailto:Susie.Breier@concordia.ca" TargetMode="External"/><Relationship Id="rId17" Type="http://schemas.openxmlformats.org/officeDocument/2006/relationships/image" Target="media/image4.png"/><Relationship Id="rId25" Type="http://schemas.openxmlformats.org/officeDocument/2006/relationships/hyperlink" Target="https://doi.org/10.5683/SP2/QOAVHE" TargetMode="External"/><Relationship Id="rId33" Type="http://schemas.openxmlformats.org/officeDocument/2006/relationships/hyperlink" Target="https://digitalcommons.georgefox.edu/tcl/vol61/iss2/6" TargetMode="External"/><Relationship Id="rId38" Type="http://schemas.openxmlformats.org/officeDocument/2006/relationships/hyperlink" Target="https://doi.org/10.15760/comminfolit.2016.10.2.24" TargetMode="External"/><Relationship Id="rId46" Type="http://schemas.openxmlformats.org/officeDocument/2006/relationships/hyperlink" Target="https://doi.org/10.1080/1533290X.2016.1226579" TargetMode="External"/><Relationship Id="rId59" Type="http://schemas.openxmlformats.org/officeDocument/2006/relationships/hyperlink" Target="https://doi.org/10.4018/978-1-5225-2639-1.ch007" TargetMode="External"/><Relationship Id="rId20" Type="http://schemas.openxmlformats.org/officeDocument/2006/relationships/hyperlink" Target="https://doi.org/10.1080/19322900903050799" TargetMode="External"/><Relationship Id="rId41" Type="http://schemas.openxmlformats.org/officeDocument/2006/relationships/hyperlink" Target="https://doi.org/10.1080/10691316.2014.963274" TargetMode="External"/><Relationship Id="rId54" Type="http://schemas.openxmlformats.org/officeDocument/2006/relationships/hyperlink" Target="https://doi.org/10.1080/08963568.2012.629556" TargetMode="External"/><Relationship Id="rId62" Type="http://schemas.openxmlformats.org/officeDocument/2006/relationships/hyperlink" Target="https://doi.org/10.15760/comminfolit.2012.5.2.112"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2.png"/><Relationship Id="rId23" Type="http://schemas.openxmlformats.org/officeDocument/2006/relationships/hyperlink" Target="https://doi.org/10.1108/00907320510581388" TargetMode="External"/><Relationship Id="rId28" Type="http://schemas.openxmlformats.org/officeDocument/2006/relationships/hyperlink" Target="https://doi.org/10.1145/2334184.2334192" TargetMode="External"/><Relationship Id="rId36" Type="http://schemas.openxmlformats.org/officeDocument/2006/relationships/hyperlink" Target="https://doi.org/10.1002/9781405165518.wbeosp014.pub2" TargetMode="External"/><Relationship Id="rId49" Type="http://schemas.openxmlformats.org/officeDocument/2006/relationships/hyperlink" Target="https://doi.org/10.5860/rusq.53n3.242" TargetMode="External"/><Relationship Id="rId57" Type="http://schemas.openxmlformats.org/officeDocument/2006/relationships/hyperlink" Target="https://doi.org/10.1080/14606925.2017.1353018" TargetMode="External"/><Relationship Id="rId10" Type="http://schemas.openxmlformats.org/officeDocument/2006/relationships/hyperlink" Target="mailto:Danielle.Dennie@concordia.ca" TargetMode="External"/><Relationship Id="rId31" Type="http://schemas.openxmlformats.org/officeDocument/2006/relationships/hyperlink" Target="https://doi.org/10.5860/0700336" TargetMode="External"/><Relationship Id="rId44" Type="http://schemas.openxmlformats.org/officeDocument/2006/relationships/hyperlink" Target="https://doi.org/10.1108/00907320310505645" TargetMode="External"/><Relationship Id="rId52" Type="http://schemas.openxmlformats.org/officeDocument/2006/relationships/hyperlink" Target="https://doi.org/10.11645/6.1.1654" TargetMode="External"/><Relationship Id="rId60" Type="http://schemas.openxmlformats.org/officeDocument/2006/relationships/hyperlink" Target="https://doi.org/10.1080/13614533.2015.1001229"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sa/4.0/" TargetMode="External"/><Relationship Id="rId13" Type="http://schemas.openxmlformats.org/officeDocument/2006/relationships/hyperlink" Target="https://doi.org/10.5683/SP2/QOAVHE" TargetMode="External"/><Relationship Id="rId18" Type="http://schemas.openxmlformats.org/officeDocument/2006/relationships/hyperlink" Target="https://academicworks.cuny.edu/ulj/vol17/iss1/2/" TargetMode="External"/><Relationship Id="rId39" Type="http://schemas.openxmlformats.org/officeDocument/2006/relationships/hyperlink" Target="https://doi.org/10.15760/comminfolit.2014.8.1.1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CFA97-79DF-6F47-9470-70F97BA45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7067</Words>
  <Characters>40286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 David</dc:creator>
  <cp:keywords/>
  <dc:description/>
  <cp:lastModifiedBy>H D</cp:lastModifiedBy>
  <cp:revision>5</cp:revision>
  <dcterms:created xsi:type="dcterms:W3CDTF">2021-12-06T22:41:00Z</dcterms:created>
  <dcterms:modified xsi:type="dcterms:W3CDTF">2021-12-07T08:15:00Z</dcterms:modified>
</cp:coreProperties>
</file>